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803B9" w14:textId="77777777" w:rsidR="00677B39" w:rsidRDefault="00677B39" w:rsidP="00677B39">
      <w:pPr>
        <w:jc w:val="right"/>
        <w:rPr>
          <w:rFonts w:ascii="Arial" w:hAnsi="Arial" w:cs="Arial"/>
          <w:b/>
          <w:sz w:val="32"/>
          <w:szCs w:val="32"/>
        </w:rPr>
      </w:pPr>
    </w:p>
    <w:p w14:paraId="39D4D549" w14:textId="15543EF1" w:rsidR="00535215" w:rsidRPr="00B93082" w:rsidRDefault="00535215" w:rsidP="00535215">
      <w:pPr>
        <w:jc w:val="center"/>
        <w:rPr>
          <w:rFonts w:ascii="Arial" w:hAnsi="Arial" w:cs="Arial"/>
          <w:b/>
          <w:sz w:val="32"/>
          <w:szCs w:val="32"/>
        </w:rPr>
      </w:pPr>
      <w:r w:rsidRPr="00B93082">
        <w:rPr>
          <w:rFonts w:ascii="Arial" w:hAnsi="Arial" w:cs="Arial"/>
          <w:b/>
          <w:sz w:val="32"/>
          <w:szCs w:val="32"/>
        </w:rPr>
        <w:t>RUNNYMEDE BOROUGH COUNCIL</w:t>
      </w:r>
    </w:p>
    <w:p w14:paraId="35072956" w14:textId="77777777" w:rsidR="00535215" w:rsidRPr="00B93082" w:rsidRDefault="00535215" w:rsidP="00535215">
      <w:pPr>
        <w:jc w:val="center"/>
        <w:rPr>
          <w:rFonts w:ascii="Arial" w:hAnsi="Arial" w:cs="Arial"/>
          <w:b/>
          <w:sz w:val="32"/>
          <w:szCs w:val="32"/>
        </w:rPr>
      </w:pPr>
    </w:p>
    <w:p w14:paraId="73D4CA1E" w14:textId="77777777" w:rsidR="00535215" w:rsidRPr="00B93082" w:rsidRDefault="00535215" w:rsidP="00535215">
      <w:pPr>
        <w:jc w:val="center"/>
        <w:rPr>
          <w:rFonts w:ascii="Arial" w:hAnsi="Arial" w:cs="Arial"/>
          <w:b/>
          <w:sz w:val="32"/>
          <w:szCs w:val="32"/>
        </w:rPr>
      </w:pPr>
      <w:r w:rsidRPr="00B93082">
        <w:rPr>
          <w:rFonts w:ascii="Arial" w:hAnsi="Arial" w:cs="Arial"/>
          <w:b/>
          <w:sz w:val="32"/>
          <w:szCs w:val="32"/>
        </w:rPr>
        <w:t>AFFORDABLE HOUSING</w:t>
      </w:r>
    </w:p>
    <w:p w14:paraId="47AF590F" w14:textId="71A5770B" w:rsidR="00535215" w:rsidRPr="00B93082" w:rsidRDefault="00535215" w:rsidP="00535215">
      <w:pPr>
        <w:jc w:val="center"/>
        <w:rPr>
          <w:rFonts w:ascii="Arial" w:hAnsi="Arial" w:cs="Arial"/>
          <w:b/>
          <w:sz w:val="32"/>
          <w:szCs w:val="32"/>
        </w:rPr>
      </w:pPr>
      <w:r w:rsidRPr="00B93082">
        <w:rPr>
          <w:rFonts w:ascii="Arial" w:hAnsi="Arial" w:cs="Arial"/>
          <w:b/>
          <w:sz w:val="32"/>
          <w:szCs w:val="32"/>
        </w:rPr>
        <w:t>SUPPLEMENTARY PLANNING DOCUMENT (SPD)</w:t>
      </w:r>
    </w:p>
    <w:p w14:paraId="2CF87F13" w14:textId="77777777" w:rsidR="00535215" w:rsidRPr="00B93082" w:rsidRDefault="00535215" w:rsidP="00535215">
      <w:pPr>
        <w:jc w:val="center"/>
        <w:rPr>
          <w:rFonts w:ascii="Arial" w:hAnsi="Arial" w:cs="Arial"/>
          <w:b/>
          <w:sz w:val="32"/>
          <w:szCs w:val="32"/>
        </w:rPr>
      </w:pPr>
    </w:p>
    <w:p w14:paraId="542FC196" w14:textId="16944A45" w:rsidR="00535215" w:rsidRPr="00B93082" w:rsidRDefault="00535215" w:rsidP="00535215">
      <w:pPr>
        <w:jc w:val="center"/>
        <w:rPr>
          <w:rFonts w:ascii="Arial" w:hAnsi="Arial" w:cs="Arial"/>
          <w:b/>
          <w:sz w:val="32"/>
          <w:szCs w:val="32"/>
        </w:rPr>
      </w:pPr>
      <w:r w:rsidRPr="00B93082">
        <w:rPr>
          <w:rFonts w:ascii="Arial" w:hAnsi="Arial" w:cs="Arial"/>
          <w:b/>
          <w:sz w:val="32"/>
          <w:szCs w:val="32"/>
        </w:rPr>
        <w:t xml:space="preserve">TOWN &amp; COUNTRY PLANNING (LOCAL </w:t>
      </w:r>
      <w:proofErr w:type="gramStart"/>
      <w:r w:rsidRPr="00B93082">
        <w:rPr>
          <w:rFonts w:ascii="Arial" w:hAnsi="Arial" w:cs="Arial"/>
          <w:b/>
          <w:sz w:val="32"/>
          <w:szCs w:val="32"/>
        </w:rPr>
        <w:t>PLANNING)(</w:t>
      </w:r>
      <w:proofErr w:type="gramEnd"/>
      <w:r w:rsidRPr="00B93082">
        <w:rPr>
          <w:rFonts w:ascii="Arial" w:hAnsi="Arial" w:cs="Arial"/>
          <w:b/>
          <w:sz w:val="32"/>
          <w:szCs w:val="32"/>
        </w:rPr>
        <w:t>ENGLAND) REGULATIONS 2012</w:t>
      </w:r>
      <w:r w:rsidR="004D3517">
        <w:rPr>
          <w:rFonts w:ascii="Arial" w:hAnsi="Arial" w:cs="Arial"/>
          <w:b/>
          <w:sz w:val="32"/>
          <w:szCs w:val="32"/>
        </w:rPr>
        <w:t xml:space="preserve"> (As amended)</w:t>
      </w:r>
    </w:p>
    <w:p w14:paraId="47226E7C" w14:textId="77777777" w:rsidR="00535215" w:rsidRPr="00B93082" w:rsidRDefault="00535215" w:rsidP="00535215">
      <w:pPr>
        <w:jc w:val="center"/>
        <w:rPr>
          <w:rFonts w:ascii="Arial" w:hAnsi="Arial" w:cs="Arial"/>
          <w:b/>
          <w:sz w:val="32"/>
          <w:szCs w:val="32"/>
        </w:rPr>
      </w:pPr>
    </w:p>
    <w:p w14:paraId="0EF56078" w14:textId="39F53CB0" w:rsidR="00535215" w:rsidRPr="00B93082" w:rsidRDefault="00535215" w:rsidP="00535215">
      <w:pPr>
        <w:jc w:val="center"/>
        <w:rPr>
          <w:rFonts w:ascii="Arial" w:hAnsi="Arial" w:cs="Arial"/>
          <w:b/>
          <w:sz w:val="32"/>
          <w:szCs w:val="32"/>
        </w:rPr>
      </w:pPr>
      <w:r w:rsidRPr="00B93082">
        <w:rPr>
          <w:rFonts w:ascii="Arial" w:hAnsi="Arial" w:cs="Arial"/>
          <w:b/>
          <w:sz w:val="32"/>
          <w:szCs w:val="32"/>
        </w:rPr>
        <w:t>REGULATION 12 STATEMENT OF CONSULTATION</w:t>
      </w:r>
    </w:p>
    <w:p w14:paraId="1025EE41" w14:textId="77777777" w:rsidR="002C149A" w:rsidRPr="00B93082" w:rsidRDefault="002C149A" w:rsidP="00535215">
      <w:pPr>
        <w:jc w:val="center"/>
        <w:rPr>
          <w:rFonts w:ascii="Arial" w:hAnsi="Arial" w:cs="Arial"/>
          <w:b/>
          <w:sz w:val="32"/>
          <w:szCs w:val="32"/>
        </w:rPr>
      </w:pPr>
    </w:p>
    <w:p w14:paraId="5A9B53F3" w14:textId="20ED3DCD" w:rsidR="00C657AA" w:rsidRPr="00B93082" w:rsidRDefault="004D3517" w:rsidP="00535215">
      <w:pPr>
        <w:jc w:val="center"/>
        <w:rPr>
          <w:rFonts w:ascii="Arial" w:hAnsi="Arial" w:cs="Arial"/>
          <w:sz w:val="32"/>
          <w:szCs w:val="32"/>
        </w:rPr>
      </w:pPr>
      <w:r>
        <w:rPr>
          <w:rFonts w:ascii="Arial" w:hAnsi="Arial" w:cs="Arial"/>
          <w:b/>
          <w:sz w:val="32"/>
          <w:szCs w:val="32"/>
        </w:rPr>
        <w:t>Septem</w:t>
      </w:r>
      <w:r w:rsidR="002C149A" w:rsidRPr="00B93082">
        <w:rPr>
          <w:rFonts w:ascii="Arial" w:hAnsi="Arial" w:cs="Arial"/>
          <w:b/>
          <w:sz w:val="32"/>
          <w:szCs w:val="32"/>
        </w:rPr>
        <w:t>ber 202</w:t>
      </w:r>
      <w:r>
        <w:rPr>
          <w:rFonts w:ascii="Arial" w:hAnsi="Arial" w:cs="Arial"/>
          <w:b/>
          <w:sz w:val="32"/>
          <w:szCs w:val="32"/>
        </w:rPr>
        <w:t>5</w:t>
      </w:r>
    </w:p>
    <w:p w14:paraId="3145AEEE" w14:textId="184A99BC" w:rsidR="00845C8A" w:rsidRPr="00B93082" w:rsidRDefault="00845C8A">
      <w:pPr>
        <w:rPr>
          <w:rFonts w:ascii="Arial" w:hAnsi="Arial" w:cs="Arial"/>
        </w:rPr>
      </w:pPr>
      <w:r w:rsidRPr="00B93082">
        <w:rPr>
          <w:rFonts w:ascii="Arial" w:hAnsi="Arial" w:cs="Arial"/>
        </w:rPr>
        <w:br w:type="page"/>
      </w:r>
    </w:p>
    <w:p w14:paraId="66557B21" w14:textId="5A0F3254" w:rsidR="00845C8A" w:rsidRPr="00B93082" w:rsidRDefault="00845C8A" w:rsidP="00845C8A">
      <w:pPr>
        <w:pStyle w:val="Heading1"/>
        <w:rPr>
          <w:rFonts w:ascii="Arial" w:hAnsi="Arial" w:cs="Arial"/>
        </w:rPr>
      </w:pPr>
      <w:bookmarkStart w:id="0" w:name="_Toc208491120"/>
      <w:r w:rsidRPr="00B93082">
        <w:rPr>
          <w:rFonts w:ascii="Arial" w:hAnsi="Arial" w:cs="Arial"/>
        </w:rPr>
        <w:lastRenderedPageBreak/>
        <w:t>Purpose of this statement</w:t>
      </w:r>
      <w:bookmarkEnd w:id="0"/>
    </w:p>
    <w:p w14:paraId="140AAB38" w14:textId="77777777" w:rsidR="00845C8A" w:rsidRPr="00B93082" w:rsidRDefault="00845C8A" w:rsidP="00845C8A">
      <w:pPr>
        <w:rPr>
          <w:rFonts w:ascii="Arial" w:hAnsi="Arial" w:cs="Arial"/>
        </w:rPr>
      </w:pPr>
    </w:p>
    <w:p w14:paraId="738D0763" w14:textId="1A7B7EFA" w:rsidR="004D3517" w:rsidRDefault="004D3517" w:rsidP="00845C8A">
      <w:pPr>
        <w:pStyle w:val="ListParagraph"/>
        <w:numPr>
          <w:ilvl w:val="0"/>
          <w:numId w:val="1"/>
        </w:numPr>
        <w:rPr>
          <w:rFonts w:ascii="Arial" w:hAnsi="Arial" w:cs="Arial"/>
        </w:rPr>
      </w:pPr>
      <w:r w:rsidRPr="004D3517">
        <w:rPr>
          <w:rFonts w:ascii="Arial" w:hAnsi="Arial" w:cs="Arial"/>
        </w:rPr>
        <w:t>The Town &amp; County Planning (Local Planning) (England) Regulations 2012</w:t>
      </w:r>
      <w:r w:rsidR="00021C00">
        <w:rPr>
          <w:rFonts w:ascii="Arial" w:hAnsi="Arial" w:cs="Arial"/>
        </w:rPr>
        <w:t xml:space="preserve"> (As amended)</w:t>
      </w:r>
      <w:r w:rsidRPr="004D3517">
        <w:rPr>
          <w:rFonts w:ascii="Arial" w:hAnsi="Arial" w:cs="Arial"/>
        </w:rPr>
        <w:t xml:space="preserve"> (‘the Regulations’) set out in Regulation 12 that before a local planning authority adopts a Supplementary Planning Document (SPD), they must prepare a statement (Statement of Consultation) setting out: </w:t>
      </w:r>
    </w:p>
    <w:p w14:paraId="23196B91" w14:textId="77777777" w:rsidR="004D3517" w:rsidRDefault="004D3517" w:rsidP="004D3517">
      <w:pPr>
        <w:pStyle w:val="ListParagraph"/>
        <w:rPr>
          <w:rFonts w:ascii="Arial" w:hAnsi="Arial" w:cs="Arial"/>
        </w:rPr>
      </w:pPr>
    </w:p>
    <w:p w14:paraId="3B247F9B" w14:textId="024042C4" w:rsidR="004D3517" w:rsidRDefault="004D3517" w:rsidP="004D3517">
      <w:pPr>
        <w:pStyle w:val="ListParagraph"/>
        <w:numPr>
          <w:ilvl w:val="0"/>
          <w:numId w:val="12"/>
        </w:numPr>
        <w:rPr>
          <w:rFonts w:ascii="Arial" w:hAnsi="Arial" w:cs="Arial"/>
        </w:rPr>
      </w:pPr>
      <w:r w:rsidRPr="004D3517">
        <w:rPr>
          <w:rFonts w:ascii="Arial" w:hAnsi="Arial" w:cs="Arial"/>
        </w:rPr>
        <w:t xml:space="preserve">The persons the local planning authority consulted when preparing the </w:t>
      </w:r>
      <w:proofErr w:type="gramStart"/>
      <w:r w:rsidRPr="004D3517">
        <w:rPr>
          <w:rFonts w:ascii="Arial" w:hAnsi="Arial" w:cs="Arial"/>
        </w:rPr>
        <w:t>SPD;</w:t>
      </w:r>
      <w:proofErr w:type="gramEnd"/>
      <w:r w:rsidRPr="004D3517">
        <w:rPr>
          <w:rFonts w:ascii="Arial" w:hAnsi="Arial" w:cs="Arial"/>
        </w:rPr>
        <w:t xml:space="preserve"> </w:t>
      </w:r>
    </w:p>
    <w:p w14:paraId="337E92A4" w14:textId="77777777" w:rsidR="004D3517" w:rsidRDefault="004D3517" w:rsidP="004D3517">
      <w:pPr>
        <w:pStyle w:val="ListParagraph"/>
        <w:numPr>
          <w:ilvl w:val="0"/>
          <w:numId w:val="12"/>
        </w:numPr>
        <w:rPr>
          <w:rFonts w:ascii="Arial" w:hAnsi="Arial" w:cs="Arial"/>
        </w:rPr>
      </w:pPr>
      <w:r w:rsidRPr="004D3517">
        <w:rPr>
          <w:rFonts w:ascii="Arial" w:hAnsi="Arial" w:cs="Arial"/>
        </w:rPr>
        <w:t xml:space="preserve">A summary of the main issues raised by those persons; and </w:t>
      </w:r>
    </w:p>
    <w:p w14:paraId="2357D019" w14:textId="77777777" w:rsidR="004D3517" w:rsidRDefault="004D3517" w:rsidP="004D3517">
      <w:pPr>
        <w:pStyle w:val="ListParagraph"/>
        <w:numPr>
          <w:ilvl w:val="0"/>
          <w:numId w:val="12"/>
        </w:numPr>
        <w:rPr>
          <w:rFonts w:ascii="Arial" w:hAnsi="Arial" w:cs="Arial"/>
        </w:rPr>
      </w:pPr>
      <w:r w:rsidRPr="004D3517">
        <w:rPr>
          <w:rFonts w:ascii="Arial" w:hAnsi="Arial" w:cs="Arial"/>
        </w:rPr>
        <w:t>How those issues have been addressed in preparing the draft SPD.</w:t>
      </w:r>
    </w:p>
    <w:p w14:paraId="15015C7A" w14:textId="77777777" w:rsidR="00845C8A" w:rsidRPr="00B93082" w:rsidRDefault="00845C8A" w:rsidP="00845C8A">
      <w:pPr>
        <w:pStyle w:val="ListParagraph"/>
        <w:rPr>
          <w:rFonts w:ascii="Arial" w:hAnsi="Arial" w:cs="Arial"/>
        </w:rPr>
      </w:pPr>
    </w:p>
    <w:p w14:paraId="4152B8BB" w14:textId="09FF25FF" w:rsidR="00DF5D41" w:rsidRPr="004D3517" w:rsidRDefault="00845C8A" w:rsidP="00DF5D41">
      <w:pPr>
        <w:pStyle w:val="ListParagraph"/>
        <w:numPr>
          <w:ilvl w:val="0"/>
          <w:numId w:val="1"/>
        </w:numPr>
        <w:rPr>
          <w:rFonts w:ascii="Arial" w:hAnsi="Arial" w:cs="Arial"/>
        </w:rPr>
      </w:pPr>
      <w:r w:rsidRPr="004D3517">
        <w:rPr>
          <w:rFonts w:ascii="Arial" w:hAnsi="Arial" w:cs="Arial"/>
        </w:rPr>
        <w:t>Th</w:t>
      </w:r>
      <w:r w:rsidR="004D3517" w:rsidRPr="004D3517">
        <w:rPr>
          <w:rFonts w:ascii="Arial" w:hAnsi="Arial" w:cs="Arial"/>
        </w:rPr>
        <w:t>is document is the</w:t>
      </w:r>
      <w:r w:rsidRPr="004D3517">
        <w:rPr>
          <w:rFonts w:ascii="Arial" w:hAnsi="Arial" w:cs="Arial"/>
        </w:rPr>
        <w:t xml:space="preserve"> Statement</w:t>
      </w:r>
      <w:r w:rsidR="004D3517" w:rsidRPr="004D3517">
        <w:rPr>
          <w:rFonts w:ascii="Arial" w:hAnsi="Arial" w:cs="Arial"/>
        </w:rPr>
        <w:t xml:space="preserve"> of Consultation</w:t>
      </w:r>
      <w:r w:rsidRPr="004D3517">
        <w:rPr>
          <w:rFonts w:ascii="Arial" w:hAnsi="Arial" w:cs="Arial"/>
        </w:rPr>
        <w:t xml:space="preserve"> </w:t>
      </w:r>
      <w:r w:rsidR="004D3517" w:rsidRPr="004D3517">
        <w:rPr>
          <w:rFonts w:ascii="Arial" w:hAnsi="Arial" w:cs="Arial"/>
        </w:rPr>
        <w:t>for the Runnymede Borough Council draft Update to the Affordable Housing Supplementary Planning Document (SPD) and sets out the persons the Council consulted in preparing the SPD, and how their comments have been addressed</w:t>
      </w:r>
      <w:r w:rsidR="00DF5D41" w:rsidRPr="004D3517">
        <w:rPr>
          <w:rFonts w:ascii="Arial" w:hAnsi="Arial" w:cs="Arial"/>
        </w:rPr>
        <w:t xml:space="preserve"> following </w:t>
      </w:r>
      <w:r w:rsidR="004D3517">
        <w:rPr>
          <w:rFonts w:ascii="Arial" w:hAnsi="Arial" w:cs="Arial"/>
        </w:rPr>
        <w:t xml:space="preserve">a first round of </w:t>
      </w:r>
      <w:r w:rsidR="00DF5D41" w:rsidRPr="004D3517">
        <w:rPr>
          <w:rFonts w:ascii="Arial" w:hAnsi="Arial" w:cs="Arial"/>
        </w:rPr>
        <w:t xml:space="preserve">public consultation on the draft SPD and prior to </w:t>
      </w:r>
      <w:r w:rsidR="008D0862">
        <w:rPr>
          <w:rFonts w:ascii="Arial" w:hAnsi="Arial" w:cs="Arial"/>
        </w:rPr>
        <w:t>a second round of public consultation</w:t>
      </w:r>
      <w:r w:rsidR="00E70864">
        <w:rPr>
          <w:rFonts w:ascii="Arial" w:hAnsi="Arial" w:cs="Arial"/>
        </w:rPr>
        <w:t xml:space="preserve">. </w:t>
      </w:r>
    </w:p>
    <w:p w14:paraId="7415DFF6" w14:textId="749F2CAA" w:rsidR="00E54269" w:rsidRDefault="00E54269" w:rsidP="00E54269">
      <w:pPr>
        <w:pStyle w:val="Heading1"/>
        <w:rPr>
          <w:rFonts w:ascii="Arial" w:hAnsi="Arial" w:cs="Arial"/>
        </w:rPr>
      </w:pPr>
      <w:bookmarkStart w:id="1" w:name="_Toc208491121"/>
      <w:r w:rsidRPr="00B93082">
        <w:rPr>
          <w:rFonts w:ascii="Arial" w:hAnsi="Arial" w:cs="Arial"/>
        </w:rPr>
        <w:t>Stakeholder involvement in the draft SPD</w:t>
      </w:r>
      <w:bookmarkEnd w:id="1"/>
    </w:p>
    <w:p w14:paraId="5E864499" w14:textId="77777777" w:rsidR="00FD4CD8" w:rsidRDefault="00FD4CD8" w:rsidP="00FD4CD8">
      <w:pPr>
        <w:pStyle w:val="ListParagraph"/>
        <w:rPr>
          <w:rFonts w:ascii="Arial" w:hAnsi="Arial" w:cs="Arial"/>
        </w:rPr>
      </w:pPr>
    </w:p>
    <w:p w14:paraId="486A3E8D" w14:textId="5150A22A" w:rsidR="00603715" w:rsidRDefault="004D3517" w:rsidP="00FF42FF">
      <w:pPr>
        <w:pStyle w:val="ListParagraph"/>
        <w:numPr>
          <w:ilvl w:val="0"/>
          <w:numId w:val="1"/>
        </w:numPr>
        <w:rPr>
          <w:rFonts w:ascii="Arial" w:hAnsi="Arial" w:cs="Arial"/>
        </w:rPr>
      </w:pPr>
      <w:r>
        <w:rPr>
          <w:rFonts w:ascii="Arial" w:hAnsi="Arial" w:cs="Arial"/>
        </w:rPr>
        <w:t>Officers in the Planning Policy Team were made aware</w:t>
      </w:r>
      <w:r w:rsidR="00603715">
        <w:rPr>
          <w:rFonts w:ascii="Arial" w:hAnsi="Arial" w:cs="Arial"/>
        </w:rPr>
        <w:t>,</w:t>
      </w:r>
      <w:r>
        <w:rPr>
          <w:rFonts w:ascii="Arial" w:hAnsi="Arial" w:cs="Arial"/>
        </w:rPr>
        <w:t xml:space="preserve"> through Development Management colleagues</w:t>
      </w:r>
      <w:r w:rsidR="00603715">
        <w:rPr>
          <w:rFonts w:ascii="Arial" w:hAnsi="Arial" w:cs="Arial"/>
        </w:rPr>
        <w:t>,</w:t>
      </w:r>
      <w:r>
        <w:rPr>
          <w:rFonts w:ascii="Arial" w:hAnsi="Arial" w:cs="Arial"/>
        </w:rPr>
        <w:t xml:space="preserve"> that developers were finding it increasingly difficult to sell affordable housing units on s106 sites to Registered Providers</w:t>
      </w:r>
      <w:r w:rsidR="00603715">
        <w:rPr>
          <w:rFonts w:ascii="Arial" w:hAnsi="Arial" w:cs="Arial"/>
        </w:rPr>
        <w:t xml:space="preserve">. This </w:t>
      </w:r>
      <w:r w:rsidR="00FD4CD8">
        <w:rPr>
          <w:rFonts w:ascii="Arial" w:hAnsi="Arial" w:cs="Arial"/>
        </w:rPr>
        <w:t xml:space="preserve">engagement, </w:t>
      </w:r>
      <w:r w:rsidR="00603715">
        <w:rPr>
          <w:rFonts w:ascii="Arial" w:hAnsi="Arial" w:cs="Arial"/>
        </w:rPr>
        <w:t>together with the publication in December 2024 of a new National Planning Policy Framework (NPPF)</w:t>
      </w:r>
      <w:r w:rsidR="00FD4CD8">
        <w:rPr>
          <w:rFonts w:ascii="Arial" w:hAnsi="Arial" w:cs="Arial"/>
        </w:rPr>
        <w:t>,</w:t>
      </w:r>
      <w:r w:rsidR="00603715">
        <w:rPr>
          <w:rFonts w:ascii="Arial" w:hAnsi="Arial" w:cs="Arial"/>
        </w:rPr>
        <w:t xml:space="preserve"> were key drivers for </w:t>
      </w:r>
      <w:r w:rsidR="00E70864">
        <w:rPr>
          <w:rFonts w:ascii="Arial" w:hAnsi="Arial" w:cs="Arial"/>
        </w:rPr>
        <w:t>an</w:t>
      </w:r>
      <w:r w:rsidR="00603715">
        <w:rPr>
          <w:rFonts w:ascii="Arial" w:hAnsi="Arial" w:cs="Arial"/>
        </w:rPr>
        <w:t xml:space="preserve"> update being made to the Council’s Affordable Housing SPD.</w:t>
      </w:r>
    </w:p>
    <w:p w14:paraId="110A9B45" w14:textId="77777777" w:rsidR="00603715" w:rsidRDefault="00603715" w:rsidP="00603715">
      <w:pPr>
        <w:pStyle w:val="ListParagraph"/>
        <w:rPr>
          <w:rFonts w:ascii="Arial" w:hAnsi="Arial" w:cs="Arial"/>
        </w:rPr>
      </w:pPr>
    </w:p>
    <w:p w14:paraId="30C116F5" w14:textId="034FA129" w:rsidR="00021C00" w:rsidRDefault="00603715" w:rsidP="00FF42FF">
      <w:pPr>
        <w:pStyle w:val="ListParagraph"/>
        <w:numPr>
          <w:ilvl w:val="0"/>
          <w:numId w:val="1"/>
        </w:numPr>
        <w:rPr>
          <w:rFonts w:ascii="Arial" w:hAnsi="Arial" w:cs="Arial"/>
        </w:rPr>
      </w:pPr>
      <w:r>
        <w:rPr>
          <w:rFonts w:ascii="Arial" w:hAnsi="Arial" w:cs="Arial"/>
        </w:rPr>
        <w:t xml:space="preserve">A first round of public consultation has been undertaken on the Update to the Affordable Housing SPD </w:t>
      </w:r>
      <w:r w:rsidR="00FD4CD8">
        <w:rPr>
          <w:rFonts w:ascii="Arial" w:hAnsi="Arial" w:cs="Arial"/>
        </w:rPr>
        <w:t>between 9</w:t>
      </w:r>
      <w:r w:rsidR="00FD4CD8" w:rsidRPr="00FD4CD8">
        <w:rPr>
          <w:rFonts w:ascii="Arial" w:hAnsi="Arial" w:cs="Arial"/>
          <w:vertAlign w:val="superscript"/>
        </w:rPr>
        <w:t>th</w:t>
      </w:r>
      <w:r w:rsidR="00FD4CD8">
        <w:rPr>
          <w:rFonts w:ascii="Arial" w:hAnsi="Arial" w:cs="Arial"/>
        </w:rPr>
        <w:t xml:space="preserve"> June 2025 and 16</w:t>
      </w:r>
      <w:r w:rsidR="00FD4CD8" w:rsidRPr="00FD4CD8">
        <w:rPr>
          <w:rFonts w:ascii="Arial" w:hAnsi="Arial" w:cs="Arial"/>
          <w:vertAlign w:val="superscript"/>
        </w:rPr>
        <w:t>th</w:t>
      </w:r>
      <w:r w:rsidR="00FD4CD8">
        <w:rPr>
          <w:rFonts w:ascii="Arial" w:hAnsi="Arial" w:cs="Arial"/>
        </w:rPr>
        <w:t xml:space="preserve"> July 2025.</w:t>
      </w:r>
      <w:r w:rsidR="00021C00">
        <w:rPr>
          <w:rFonts w:ascii="Arial" w:hAnsi="Arial" w:cs="Arial"/>
        </w:rPr>
        <w:t xml:space="preserve"> The Planning Policy Team con</w:t>
      </w:r>
      <w:r w:rsidR="001C2A81">
        <w:rPr>
          <w:rFonts w:ascii="Arial" w:hAnsi="Arial" w:cs="Arial"/>
        </w:rPr>
        <w:t xml:space="preserve">tacted all stakeholders </w:t>
      </w:r>
      <w:r w:rsidR="001C2A81" w:rsidRPr="001C2A81">
        <w:rPr>
          <w:rFonts w:ascii="Arial" w:hAnsi="Arial" w:cs="Arial"/>
        </w:rPr>
        <w:t>(neighbouring local authorities, other organisations, members of the public, businesses and amenity groups) whose email addresses are held on the Planning Policy Consultation database about the consultation. Appendix A of the Council’s Statement of Community Involvement (SCI, 2021) details the bodies registered with the Council.</w:t>
      </w:r>
    </w:p>
    <w:p w14:paraId="7A9A83D3" w14:textId="77777777" w:rsidR="00021C00" w:rsidRPr="00021C00" w:rsidRDefault="00021C00" w:rsidP="00021C00">
      <w:pPr>
        <w:pStyle w:val="ListParagraph"/>
        <w:rPr>
          <w:rFonts w:ascii="Arial" w:hAnsi="Arial" w:cs="Arial"/>
        </w:rPr>
      </w:pPr>
    </w:p>
    <w:p w14:paraId="68286E8D" w14:textId="5C65A104" w:rsidR="00021C00" w:rsidRDefault="001C2A81" w:rsidP="00FF42FF">
      <w:pPr>
        <w:pStyle w:val="ListParagraph"/>
        <w:numPr>
          <w:ilvl w:val="0"/>
          <w:numId w:val="1"/>
        </w:numPr>
        <w:rPr>
          <w:rFonts w:ascii="Arial" w:hAnsi="Arial" w:cs="Arial"/>
        </w:rPr>
      </w:pPr>
      <w:r>
        <w:rPr>
          <w:rFonts w:ascii="Arial" w:hAnsi="Arial" w:cs="Arial"/>
        </w:rPr>
        <w:t xml:space="preserve">Additionally, the Planning Policy Team sought the views of councillors on the Planning Committee </w:t>
      </w:r>
      <w:r w:rsidR="0017595B">
        <w:rPr>
          <w:rFonts w:ascii="Arial" w:hAnsi="Arial" w:cs="Arial"/>
        </w:rPr>
        <w:t xml:space="preserve">on the contents of the Update to the Affordable Housing SPD </w:t>
      </w:r>
      <w:r>
        <w:rPr>
          <w:rFonts w:ascii="Arial" w:hAnsi="Arial" w:cs="Arial"/>
        </w:rPr>
        <w:t xml:space="preserve">at the meeting held on the </w:t>
      </w:r>
      <w:proofErr w:type="gramStart"/>
      <w:r>
        <w:rPr>
          <w:rFonts w:ascii="Arial" w:hAnsi="Arial" w:cs="Arial"/>
        </w:rPr>
        <w:t>28</w:t>
      </w:r>
      <w:r w:rsidRPr="001C2A81">
        <w:rPr>
          <w:rFonts w:ascii="Arial" w:hAnsi="Arial" w:cs="Arial"/>
          <w:vertAlign w:val="superscript"/>
        </w:rPr>
        <w:t>th</w:t>
      </w:r>
      <w:proofErr w:type="gramEnd"/>
      <w:r>
        <w:rPr>
          <w:rFonts w:ascii="Arial" w:hAnsi="Arial" w:cs="Arial"/>
        </w:rPr>
        <w:t xml:space="preserve"> May 2025.</w:t>
      </w:r>
    </w:p>
    <w:p w14:paraId="49011ABE" w14:textId="77777777" w:rsidR="001C2A81" w:rsidRPr="001C2A81" w:rsidRDefault="001C2A81" w:rsidP="001C2A81">
      <w:pPr>
        <w:pStyle w:val="ListParagraph"/>
        <w:rPr>
          <w:rFonts w:ascii="Arial" w:hAnsi="Arial" w:cs="Arial"/>
        </w:rPr>
      </w:pPr>
    </w:p>
    <w:p w14:paraId="46A1D1F9" w14:textId="5602E0AE" w:rsidR="001C2A81" w:rsidRDefault="001C2A81" w:rsidP="00FF42FF">
      <w:pPr>
        <w:pStyle w:val="ListParagraph"/>
        <w:numPr>
          <w:ilvl w:val="0"/>
          <w:numId w:val="1"/>
        </w:numPr>
        <w:rPr>
          <w:rFonts w:ascii="Arial" w:hAnsi="Arial" w:cs="Arial"/>
        </w:rPr>
      </w:pPr>
      <w:r w:rsidRPr="001C2A81">
        <w:rPr>
          <w:rFonts w:ascii="Arial" w:hAnsi="Arial" w:cs="Arial"/>
        </w:rPr>
        <w:t xml:space="preserve">The Planning Policy Team also publicised the consultation on the Council’s </w:t>
      </w:r>
      <w:r w:rsidR="00760B3D" w:rsidRPr="001C2A81">
        <w:rPr>
          <w:rFonts w:ascii="Arial" w:hAnsi="Arial" w:cs="Arial"/>
        </w:rPr>
        <w:t>website and</w:t>
      </w:r>
      <w:r w:rsidRPr="001C2A81">
        <w:rPr>
          <w:rFonts w:ascii="Arial" w:hAnsi="Arial" w:cs="Arial"/>
        </w:rPr>
        <w:t xml:space="preserve"> distributed hard copy consultation documents in the Borough’s libraries and main office at the Civic Centre in Addlestone, in accordance with the Council’s Statement of Community Involvement (SCI).</w:t>
      </w:r>
    </w:p>
    <w:p w14:paraId="2D121912" w14:textId="77777777" w:rsidR="00886AFE" w:rsidRPr="00886AFE" w:rsidRDefault="00886AFE" w:rsidP="00886AFE">
      <w:pPr>
        <w:pStyle w:val="ListParagraph"/>
        <w:rPr>
          <w:rFonts w:ascii="Arial" w:hAnsi="Arial" w:cs="Arial"/>
        </w:rPr>
      </w:pPr>
    </w:p>
    <w:p w14:paraId="32B035F0" w14:textId="41764488" w:rsidR="00886AFE" w:rsidRDefault="00886AFE" w:rsidP="00FF42FF">
      <w:pPr>
        <w:pStyle w:val="ListParagraph"/>
        <w:numPr>
          <w:ilvl w:val="0"/>
          <w:numId w:val="1"/>
        </w:numPr>
        <w:rPr>
          <w:rFonts w:ascii="Arial" w:hAnsi="Arial" w:cs="Arial"/>
        </w:rPr>
      </w:pPr>
      <w:r>
        <w:rPr>
          <w:rFonts w:ascii="Arial" w:hAnsi="Arial" w:cs="Arial"/>
        </w:rPr>
        <w:t xml:space="preserve">In addition, as this SPD is an update to </w:t>
      </w:r>
      <w:r w:rsidR="004E7138">
        <w:rPr>
          <w:rFonts w:ascii="Arial" w:hAnsi="Arial" w:cs="Arial"/>
        </w:rPr>
        <w:t xml:space="preserve">the existing Affordable Housing SPD which was adopted </w:t>
      </w:r>
      <w:r w:rsidR="00DF3B9B">
        <w:rPr>
          <w:rFonts w:ascii="Arial" w:hAnsi="Arial" w:cs="Arial"/>
        </w:rPr>
        <w:t>o</w:t>
      </w:r>
      <w:r w:rsidR="004E7138">
        <w:rPr>
          <w:rFonts w:ascii="Arial" w:hAnsi="Arial" w:cs="Arial"/>
        </w:rPr>
        <w:t>n</w:t>
      </w:r>
      <w:r w:rsidR="00DF3B9B">
        <w:rPr>
          <w:rFonts w:ascii="Arial" w:hAnsi="Arial" w:cs="Arial"/>
        </w:rPr>
        <w:t xml:space="preserve"> 13</w:t>
      </w:r>
      <w:r w:rsidR="00DF3B9B" w:rsidRPr="00DF3B9B">
        <w:rPr>
          <w:rFonts w:ascii="Arial" w:hAnsi="Arial" w:cs="Arial"/>
          <w:vertAlign w:val="superscript"/>
        </w:rPr>
        <w:t>th</w:t>
      </w:r>
      <w:r w:rsidR="00DF3B9B">
        <w:rPr>
          <w:rFonts w:ascii="Arial" w:hAnsi="Arial" w:cs="Arial"/>
        </w:rPr>
        <w:t xml:space="preserve"> April </w:t>
      </w:r>
      <w:r w:rsidR="00760B3D">
        <w:rPr>
          <w:rFonts w:ascii="Arial" w:hAnsi="Arial" w:cs="Arial"/>
        </w:rPr>
        <w:t>2022.</w:t>
      </w:r>
      <w:r w:rsidR="004E7138">
        <w:rPr>
          <w:rFonts w:ascii="Arial" w:hAnsi="Arial" w:cs="Arial"/>
        </w:rPr>
        <w:t xml:space="preserve"> Much of the text within the SPD has been consulted on previously. The details of the consultation that was undertaken on the original </w:t>
      </w:r>
      <w:r w:rsidR="004E7138">
        <w:rPr>
          <w:rFonts w:ascii="Arial" w:hAnsi="Arial" w:cs="Arial"/>
        </w:rPr>
        <w:lastRenderedPageBreak/>
        <w:t>Affordable Housing SPD are outlined in the</w:t>
      </w:r>
      <w:r w:rsidR="00F63090">
        <w:rPr>
          <w:rFonts w:ascii="Arial" w:hAnsi="Arial" w:cs="Arial"/>
        </w:rPr>
        <w:t xml:space="preserve"> </w:t>
      </w:r>
      <w:hyperlink r:id="rId11" w:history="1">
        <w:r w:rsidR="00F63090" w:rsidRPr="00F63090">
          <w:rPr>
            <w:rStyle w:val="Hyperlink"/>
            <w:rFonts w:ascii="Arial" w:hAnsi="Arial" w:cs="Arial"/>
          </w:rPr>
          <w:t>Statement of Consultation</w:t>
        </w:r>
      </w:hyperlink>
      <w:r w:rsidR="00F63090">
        <w:rPr>
          <w:rFonts w:ascii="Arial" w:hAnsi="Arial" w:cs="Arial"/>
        </w:rPr>
        <w:t xml:space="preserve"> from April 2022.</w:t>
      </w:r>
      <w:r w:rsidR="004E7138">
        <w:rPr>
          <w:rFonts w:ascii="Arial" w:hAnsi="Arial" w:cs="Arial"/>
        </w:rPr>
        <w:t xml:space="preserve"> </w:t>
      </w:r>
    </w:p>
    <w:p w14:paraId="7225F63B" w14:textId="77777777" w:rsidR="00021C00" w:rsidRPr="00021C00" w:rsidRDefault="00021C00" w:rsidP="00021C00">
      <w:pPr>
        <w:pStyle w:val="ListParagraph"/>
        <w:rPr>
          <w:rFonts w:ascii="Arial" w:hAnsi="Arial" w:cs="Arial"/>
        </w:rPr>
      </w:pPr>
    </w:p>
    <w:p w14:paraId="3B93D5F4" w14:textId="663A3DA6" w:rsidR="001C2A81" w:rsidRPr="001C2A81" w:rsidRDefault="001C2A81" w:rsidP="001C2A81">
      <w:pPr>
        <w:pStyle w:val="ListParagraph"/>
        <w:ind w:left="0"/>
        <w:rPr>
          <w:rFonts w:ascii="Arial" w:hAnsi="Arial" w:cs="Arial"/>
          <w:color w:val="2F5496" w:themeColor="accent1" w:themeShade="BF"/>
          <w:sz w:val="32"/>
          <w:szCs w:val="32"/>
        </w:rPr>
      </w:pPr>
      <w:r w:rsidRPr="001C2A81">
        <w:rPr>
          <w:rFonts w:ascii="Arial" w:hAnsi="Arial" w:cs="Arial"/>
          <w:color w:val="2F5496" w:themeColor="accent1" w:themeShade="BF"/>
          <w:sz w:val="32"/>
          <w:szCs w:val="32"/>
        </w:rPr>
        <w:t>Summary of the main issues raised by stakeholders to the Updated Affordable Housing SPD</w:t>
      </w:r>
    </w:p>
    <w:p w14:paraId="78E44CA2" w14:textId="77777777" w:rsidR="00FD4CD8" w:rsidRPr="00FD4CD8" w:rsidRDefault="00FD4CD8" w:rsidP="00FD4CD8">
      <w:pPr>
        <w:pStyle w:val="ListParagraph"/>
        <w:rPr>
          <w:rFonts w:ascii="Arial" w:hAnsi="Arial" w:cs="Arial"/>
        </w:rPr>
      </w:pPr>
    </w:p>
    <w:p w14:paraId="7CEED4B0" w14:textId="77777777" w:rsidR="00B408D9" w:rsidRDefault="00B408D9" w:rsidP="00B408D9">
      <w:pPr>
        <w:pStyle w:val="ListParagraph"/>
        <w:numPr>
          <w:ilvl w:val="0"/>
          <w:numId w:val="1"/>
        </w:numPr>
        <w:rPr>
          <w:rFonts w:ascii="Arial" w:hAnsi="Arial" w:cs="Arial"/>
        </w:rPr>
      </w:pPr>
      <w:r>
        <w:rPr>
          <w:rFonts w:ascii="Arial" w:hAnsi="Arial" w:cs="Arial"/>
        </w:rPr>
        <w:t xml:space="preserve">10 representations were received from external organisations to this public consultation and some internal comments from other departments within the Council were also received. A summary of the issues raised are set out in the table below, along with a column showing how these issues have been addressed in the revised SPD, or why no changes are considered necessary. </w:t>
      </w:r>
    </w:p>
    <w:p w14:paraId="0862AFA9" w14:textId="77777777" w:rsidR="00B408D9" w:rsidRDefault="00B408D9" w:rsidP="00B408D9">
      <w:pPr>
        <w:pStyle w:val="ListParagraph"/>
        <w:rPr>
          <w:rFonts w:ascii="Arial" w:hAnsi="Arial" w:cs="Arial"/>
        </w:rPr>
      </w:pPr>
    </w:p>
    <w:p w14:paraId="77CA3DCF" w14:textId="1EC50BCE" w:rsidR="00FD4CD8" w:rsidRDefault="00FD4CD8" w:rsidP="00B408D9">
      <w:pPr>
        <w:pStyle w:val="ListParagraph"/>
        <w:numPr>
          <w:ilvl w:val="0"/>
          <w:numId w:val="1"/>
        </w:numPr>
        <w:rPr>
          <w:rFonts w:ascii="Arial" w:hAnsi="Arial" w:cs="Arial"/>
        </w:rPr>
      </w:pPr>
      <w:r>
        <w:rPr>
          <w:rFonts w:ascii="Arial" w:hAnsi="Arial" w:cs="Arial"/>
        </w:rPr>
        <w:t xml:space="preserve">Some of the key issues raised in response to </w:t>
      </w:r>
      <w:r w:rsidR="001C2A81">
        <w:rPr>
          <w:rFonts w:ascii="Arial" w:hAnsi="Arial" w:cs="Arial"/>
        </w:rPr>
        <w:t xml:space="preserve">the consultation on </w:t>
      </w:r>
      <w:r>
        <w:rPr>
          <w:rFonts w:ascii="Arial" w:hAnsi="Arial" w:cs="Arial"/>
        </w:rPr>
        <w:t>this Update to the Affordable Housing SPD include the following:</w:t>
      </w:r>
    </w:p>
    <w:p w14:paraId="24B21574" w14:textId="77777777" w:rsidR="00FD4CD8" w:rsidRPr="00FD4CD8" w:rsidRDefault="00FD4CD8" w:rsidP="00FD4CD8">
      <w:pPr>
        <w:pStyle w:val="ListParagraph"/>
        <w:rPr>
          <w:rFonts w:ascii="Arial" w:hAnsi="Arial" w:cs="Arial"/>
        </w:rPr>
      </w:pPr>
    </w:p>
    <w:p w14:paraId="6AD0CE19" w14:textId="2BD89176" w:rsidR="00FD4CD8" w:rsidRPr="00FD4CD8" w:rsidRDefault="00FD4CD8" w:rsidP="00FD4CD8">
      <w:pPr>
        <w:pStyle w:val="ListParagraph"/>
        <w:numPr>
          <w:ilvl w:val="0"/>
          <w:numId w:val="13"/>
        </w:numPr>
        <w:rPr>
          <w:rFonts w:ascii="Arial" w:hAnsi="Arial" w:cs="Arial"/>
          <w:bCs/>
        </w:rPr>
      </w:pPr>
      <w:r w:rsidRPr="00FD4CD8">
        <w:rPr>
          <w:rFonts w:ascii="Arial" w:hAnsi="Arial" w:cs="Arial"/>
          <w:bCs/>
        </w:rPr>
        <w:t xml:space="preserve">The issue of the </w:t>
      </w:r>
      <w:r w:rsidR="002D6185">
        <w:rPr>
          <w:rFonts w:ascii="Arial" w:hAnsi="Arial" w:cs="Arial"/>
          <w:bCs/>
        </w:rPr>
        <w:t xml:space="preserve">inclusion of </w:t>
      </w:r>
      <w:r w:rsidR="00016336">
        <w:rPr>
          <w:rFonts w:ascii="Arial" w:hAnsi="Arial" w:cs="Arial"/>
          <w:bCs/>
        </w:rPr>
        <w:t>‘</w:t>
      </w:r>
      <w:r w:rsidR="002D6185">
        <w:rPr>
          <w:rFonts w:ascii="Arial" w:hAnsi="Arial" w:cs="Arial"/>
          <w:bCs/>
        </w:rPr>
        <w:t>additionality</w:t>
      </w:r>
      <w:r w:rsidR="00016336">
        <w:rPr>
          <w:rFonts w:ascii="Arial" w:hAnsi="Arial" w:cs="Arial"/>
          <w:bCs/>
        </w:rPr>
        <w:t>’</w:t>
      </w:r>
      <w:r w:rsidR="00522C6A">
        <w:rPr>
          <w:rFonts w:ascii="Arial" w:hAnsi="Arial" w:cs="Arial"/>
          <w:bCs/>
        </w:rPr>
        <w:t xml:space="preserve"> within </w:t>
      </w:r>
      <w:r w:rsidR="00411611">
        <w:rPr>
          <w:rFonts w:ascii="Arial" w:hAnsi="Arial" w:cs="Arial"/>
          <w:bCs/>
        </w:rPr>
        <w:t>s106 agreements</w:t>
      </w:r>
      <w:r w:rsidRPr="00FD4CD8">
        <w:rPr>
          <w:rFonts w:ascii="Arial" w:hAnsi="Arial" w:cs="Arial"/>
          <w:bCs/>
        </w:rPr>
        <w:t>, was raised.</w:t>
      </w:r>
      <w:r w:rsidR="005A0D89">
        <w:rPr>
          <w:rFonts w:ascii="Arial" w:hAnsi="Arial" w:cs="Arial"/>
          <w:bCs/>
        </w:rPr>
        <w:t xml:space="preserve"> </w:t>
      </w:r>
      <w:r w:rsidRPr="00FD4CD8">
        <w:rPr>
          <w:rFonts w:ascii="Arial" w:hAnsi="Arial" w:cs="Arial"/>
          <w:bCs/>
        </w:rPr>
        <w:t xml:space="preserve">‘Additionality’ is where Registered Providers seek to maximise the number of affordable houses being delivered on a site by purchasing larger numbers of homes than specified in a development’s s106 agreement, sometimes seeking to provide as much as 100% of the houses on a site as affordable housing. </w:t>
      </w:r>
    </w:p>
    <w:p w14:paraId="677F7D61" w14:textId="77777777" w:rsidR="00FD4CD8" w:rsidRPr="00FD4CD8" w:rsidRDefault="00FD4CD8" w:rsidP="00FD4CD8">
      <w:pPr>
        <w:pStyle w:val="ListParagraph"/>
        <w:rPr>
          <w:rFonts w:ascii="Arial" w:hAnsi="Arial" w:cs="Arial"/>
          <w:bCs/>
        </w:rPr>
      </w:pPr>
    </w:p>
    <w:p w14:paraId="20F9EC73" w14:textId="77777777" w:rsidR="00FD4CD8" w:rsidRPr="00FD4CD8" w:rsidRDefault="00FD4CD8" w:rsidP="00FD4CD8">
      <w:pPr>
        <w:pStyle w:val="ListParagraph"/>
        <w:numPr>
          <w:ilvl w:val="0"/>
          <w:numId w:val="13"/>
        </w:numPr>
        <w:rPr>
          <w:rFonts w:ascii="Arial" w:hAnsi="Arial" w:cs="Arial"/>
          <w:bCs/>
        </w:rPr>
      </w:pPr>
      <w:r w:rsidRPr="00FD4CD8">
        <w:rPr>
          <w:rFonts w:ascii="Arial" w:hAnsi="Arial" w:cs="Arial"/>
          <w:bCs/>
        </w:rPr>
        <w:t>This can mean that the developer is able to use Homes England grant funding to deliver these additional affordable houses. Homes England grant funding cannot however be used to cross-subsidise dwellings to be delivered in a s106 agreement and consequently, one of the representors would like changes made to the Affordable Housing SPD, which requires additional delivery to be brought inside the s106 agreement.</w:t>
      </w:r>
    </w:p>
    <w:p w14:paraId="2EF0B512" w14:textId="77777777" w:rsidR="00FD4CD8" w:rsidRPr="00FD4CD8" w:rsidRDefault="00FD4CD8" w:rsidP="00FD4CD8">
      <w:pPr>
        <w:pStyle w:val="ListParagraph"/>
        <w:rPr>
          <w:rFonts w:ascii="Arial" w:hAnsi="Arial" w:cs="Arial"/>
          <w:bCs/>
        </w:rPr>
      </w:pPr>
    </w:p>
    <w:p w14:paraId="635F3D57" w14:textId="77777777" w:rsidR="00FD4CD8" w:rsidRPr="00FD4CD8" w:rsidRDefault="00FD4CD8" w:rsidP="00FD4CD8">
      <w:pPr>
        <w:pStyle w:val="ListParagraph"/>
        <w:numPr>
          <w:ilvl w:val="0"/>
          <w:numId w:val="13"/>
        </w:numPr>
        <w:rPr>
          <w:rFonts w:ascii="Arial" w:hAnsi="Arial" w:cs="Arial"/>
          <w:bCs/>
        </w:rPr>
      </w:pPr>
      <w:r w:rsidRPr="00FD4CD8">
        <w:rPr>
          <w:rFonts w:ascii="Arial" w:hAnsi="Arial" w:cs="Arial"/>
          <w:bCs/>
        </w:rPr>
        <w:t>Concerns were raised about the marketing requirements required in the Affordable Housing SPD with regards to vacant buildings. It was suggested that references to these marketing requirements should be deleted from the SPD.</w:t>
      </w:r>
    </w:p>
    <w:p w14:paraId="57C12F96" w14:textId="77777777" w:rsidR="00FD4CD8" w:rsidRPr="00FD4CD8" w:rsidRDefault="00FD4CD8" w:rsidP="00FD4CD8">
      <w:pPr>
        <w:pStyle w:val="ListParagraph"/>
        <w:rPr>
          <w:rFonts w:ascii="Arial" w:hAnsi="Arial" w:cs="Arial"/>
          <w:bCs/>
        </w:rPr>
      </w:pPr>
    </w:p>
    <w:p w14:paraId="294B666F" w14:textId="77777777" w:rsidR="00FD4CD8" w:rsidRPr="00FD4CD8" w:rsidRDefault="00FD4CD8" w:rsidP="00FD4CD8">
      <w:pPr>
        <w:pStyle w:val="ListParagraph"/>
        <w:numPr>
          <w:ilvl w:val="0"/>
          <w:numId w:val="13"/>
        </w:numPr>
        <w:rPr>
          <w:rFonts w:ascii="Arial" w:hAnsi="Arial" w:cs="Arial"/>
          <w:bCs/>
        </w:rPr>
      </w:pPr>
      <w:r w:rsidRPr="00FD4CD8">
        <w:rPr>
          <w:rFonts w:ascii="Arial" w:hAnsi="Arial" w:cs="Arial"/>
          <w:bCs/>
        </w:rPr>
        <w:t xml:space="preserve">Concerns were raised about the viability requirements set out in the Affordable Housing SPD and in particular the fact that the SPD is asking for ‘open book viability assessments’ which the representor considers is advocating a developer specific approach, which is inappropriate and not in line with the PPG Viability requirements. </w:t>
      </w:r>
    </w:p>
    <w:p w14:paraId="4CA57B1A" w14:textId="77777777" w:rsidR="00FD4CD8" w:rsidRPr="00FD4CD8" w:rsidRDefault="00FD4CD8" w:rsidP="00FD4CD8">
      <w:pPr>
        <w:pStyle w:val="ListParagraph"/>
        <w:rPr>
          <w:rFonts w:ascii="Arial" w:hAnsi="Arial" w:cs="Arial"/>
          <w:bCs/>
        </w:rPr>
      </w:pPr>
    </w:p>
    <w:p w14:paraId="037078EE" w14:textId="77777777" w:rsidR="00FD4CD8" w:rsidRPr="00FD4CD8" w:rsidRDefault="00FD4CD8" w:rsidP="00FD4CD8">
      <w:pPr>
        <w:pStyle w:val="ListParagraph"/>
        <w:numPr>
          <w:ilvl w:val="0"/>
          <w:numId w:val="13"/>
        </w:numPr>
        <w:rPr>
          <w:rFonts w:ascii="Arial" w:hAnsi="Arial" w:cs="Arial"/>
          <w:bCs/>
        </w:rPr>
      </w:pPr>
      <w:r w:rsidRPr="00FD4CD8">
        <w:rPr>
          <w:rFonts w:ascii="Arial" w:hAnsi="Arial" w:cs="Arial"/>
          <w:bCs/>
        </w:rPr>
        <w:t xml:space="preserve">Concerns were raised about the introduction of a late-stage review mechanism, in paras. 3.1.21 and 3.1.22 of the SPD, as the representor didn’t consider this to be appropriate, as there is no mention of this approach in the adopted Runnymede 2030 Local Plan. </w:t>
      </w:r>
    </w:p>
    <w:p w14:paraId="0CDBE5D5" w14:textId="77777777" w:rsidR="00FD4CD8" w:rsidRPr="00FD4CD8" w:rsidRDefault="00FD4CD8" w:rsidP="00FD4CD8">
      <w:pPr>
        <w:pStyle w:val="ListParagraph"/>
        <w:rPr>
          <w:rFonts w:ascii="Arial" w:hAnsi="Arial" w:cs="Arial"/>
          <w:bCs/>
        </w:rPr>
      </w:pPr>
    </w:p>
    <w:p w14:paraId="6B0CC5A9" w14:textId="77777777" w:rsidR="00FD4CD8" w:rsidRDefault="00FD4CD8" w:rsidP="00FD4CD8">
      <w:pPr>
        <w:pStyle w:val="ListParagraph"/>
        <w:numPr>
          <w:ilvl w:val="0"/>
          <w:numId w:val="13"/>
        </w:numPr>
        <w:rPr>
          <w:rFonts w:ascii="Arial" w:hAnsi="Arial" w:cs="Arial"/>
          <w:bCs/>
        </w:rPr>
      </w:pPr>
      <w:r w:rsidRPr="00FD4CD8">
        <w:rPr>
          <w:rFonts w:ascii="Arial" w:hAnsi="Arial" w:cs="Arial"/>
          <w:bCs/>
        </w:rPr>
        <w:lastRenderedPageBreak/>
        <w:t xml:space="preserve">It was requested that the definition of affordable housing on s106 sites should also include community led housing development and Custom Self-Build development sites.  The representor suggested that custom/ self-builders get 6 months to </w:t>
      </w:r>
      <w:proofErr w:type="gramStart"/>
      <w:r w:rsidRPr="00FD4CD8">
        <w:rPr>
          <w:rFonts w:ascii="Arial" w:hAnsi="Arial" w:cs="Arial"/>
          <w:bCs/>
        </w:rPr>
        <w:t>submit an application</w:t>
      </w:r>
      <w:proofErr w:type="gramEnd"/>
      <w:r w:rsidRPr="00FD4CD8">
        <w:rPr>
          <w:rFonts w:ascii="Arial" w:hAnsi="Arial" w:cs="Arial"/>
          <w:bCs/>
        </w:rPr>
        <w:t xml:space="preserve"> to acquire these units and that alongside this, community led developers are given 12 months to acquire the land. Only after 12 months can Registered Providers acquire the units.</w:t>
      </w:r>
    </w:p>
    <w:p w14:paraId="1CAE9673" w14:textId="77777777" w:rsidR="00B03D27" w:rsidRPr="00B03D27" w:rsidRDefault="00B03D27" w:rsidP="00B03D27">
      <w:pPr>
        <w:pStyle w:val="ListParagraph"/>
        <w:rPr>
          <w:rFonts w:ascii="Arial" w:hAnsi="Arial" w:cs="Arial"/>
          <w:bCs/>
        </w:rPr>
      </w:pPr>
    </w:p>
    <w:p w14:paraId="7560C691" w14:textId="200A91B9" w:rsidR="00B03D27" w:rsidRDefault="00B03D27" w:rsidP="00FD4CD8">
      <w:pPr>
        <w:pStyle w:val="ListParagraph"/>
        <w:numPr>
          <w:ilvl w:val="0"/>
          <w:numId w:val="13"/>
        </w:numPr>
        <w:rPr>
          <w:rFonts w:ascii="Arial" w:hAnsi="Arial" w:cs="Arial"/>
          <w:bCs/>
        </w:rPr>
      </w:pPr>
      <w:r>
        <w:rPr>
          <w:rFonts w:ascii="Arial" w:hAnsi="Arial" w:cs="Arial"/>
          <w:bCs/>
        </w:rPr>
        <w:t xml:space="preserve">The internal comments received to the consultation were mainly concerned with the wording of the Affordable Housing Template </w:t>
      </w:r>
      <w:r w:rsidR="002D6C11">
        <w:rPr>
          <w:rFonts w:ascii="Arial" w:hAnsi="Arial" w:cs="Arial"/>
          <w:bCs/>
        </w:rPr>
        <w:t xml:space="preserve">for the s106 and ensuring that these were the latest </w:t>
      </w:r>
      <w:r w:rsidR="00464170">
        <w:rPr>
          <w:rFonts w:ascii="Arial" w:hAnsi="Arial" w:cs="Arial"/>
          <w:bCs/>
        </w:rPr>
        <w:t xml:space="preserve">that they could </w:t>
      </w:r>
      <w:proofErr w:type="gramStart"/>
      <w:r w:rsidR="00464170">
        <w:rPr>
          <w:rFonts w:ascii="Arial" w:hAnsi="Arial" w:cs="Arial"/>
          <w:bCs/>
        </w:rPr>
        <w:t>be</w:t>
      </w:r>
      <w:r w:rsidR="00D14A3C">
        <w:rPr>
          <w:rFonts w:ascii="Arial" w:hAnsi="Arial" w:cs="Arial"/>
          <w:bCs/>
        </w:rPr>
        <w:t>,</w:t>
      </w:r>
      <w:r w:rsidR="00464170">
        <w:rPr>
          <w:rFonts w:ascii="Arial" w:hAnsi="Arial" w:cs="Arial"/>
          <w:bCs/>
        </w:rPr>
        <w:t xml:space="preserve"> </w:t>
      </w:r>
      <w:r w:rsidR="005F7BF3">
        <w:rPr>
          <w:rFonts w:ascii="Arial" w:hAnsi="Arial" w:cs="Arial"/>
          <w:bCs/>
        </w:rPr>
        <w:t>and</w:t>
      </w:r>
      <w:proofErr w:type="gramEnd"/>
      <w:r w:rsidR="005F7BF3">
        <w:rPr>
          <w:rFonts w:ascii="Arial" w:hAnsi="Arial" w:cs="Arial"/>
          <w:bCs/>
        </w:rPr>
        <w:t xml:space="preserve"> reflected those used in </w:t>
      </w:r>
      <w:r w:rsidR="00464170">
        <w:rPr>
          <w:rFonts w:ascii="Arial" w:hAnsi="Arial" w:cs="Arial"/>
          <w:bCs/>
        </w:rPr>
        <w:t>recent s106 agreements agreed by the Council.</w:t>
      </w:r>
    </w:p>
    <w:p w14:paraId="24D4E3AB" w14:textId="77777777" w:rsidR="00A36CA0" w:rsidRPr="00A36CA0" w:rsidRDefault="00A36CA0" w:rsidP="00A36CA0">
      <w:pPr>
        <w:pStyle w:val="ListParagraph"/>
        <w:rPr>
          <w:rFonts w:ascii="Arial" w:hAnsi="Arial" w:cs="Arial"/>
          <w:bCs/>
        </w:rPr>
      </w:pPr>
    </w:p>
    <w:p w14:paraId="495D8C1C" w14:textId="7EE6C8D2" w:rsidR="00A36CA0" w:rsidRPr="00A36CA0" w:rsidRDefault="00A36CA0" w:rsidP="00A36CA0">
      <w:pPr>
        <w:pStyle w:val="ListParagraph"/>
        <w:ind w:left="1429" w:hanging="1429"/>
        <w:rPr>
          <w:rFonts w:ascii="Arial" w:hAnsi="Arial" w:cs="Arial"/>
          <w:bCs/>
          <w:color w:val="2F5496" w:themeColor="accent1" w:themeShade="BF"/>
          <w:sz w:val="32"/>
          <w:szCs w:val="32"/>
        </w:rPr>
      </w:pPr>
      <w:r w:rsidRPr="00A36CA0">
        <w:rPr>
          <w:rFonts w:ascii="Arial" w:hAnsi="Arial" w:cs="Arial"/>
          <w:bCs/>
          <w:color w:val="2F5496" w:themeColor="accent1" w:themeShade="BF"/>
          <w:sz w:val="32"/>
          <w:szCs w:val="32"/>
        </w:rPr>
        <w:t>Next steps</w:t>
      </w:r>
    </w:p>
    <w:p w14:paraId="7A517E0F" w14:textId="77777777" w:rsidR="001C2A81" w:rsidRDefault="001C2A81" w:rsidP="001C2A81">
      <w:pPr>
        <w:pStyle w:val="ListParagraph"/>
        <w:rPr>
          <w:rFonts w:ascii="Arial" w:hAnsi="Arial" w:cs="Arial"/>
          <w:bCs/>
        </w:rPr>
      </w:pPr>
    </w:p>
    <w:p w14:paraId="3EB92FD1" w14:textId="0EFA88D4" w:rsidR="00A36CA0" w:rsidRDefault="00A36CA0" w:rsidP="00B408D9">
      <w:pPr>
        <w:pStyle w:val="ListParagraph"/>
        <w:numPr>
          <w:ilvl w:val="0"/>
          <w:numId w:val="1"/>
        </w:numPr>
        <w:rPr>
          <w:rFonts w:ascii="Arial" w:hAnsi="Arial" w:cs="Arial"/>
        </w:rPr>
      </w:pPr>
      <w:r>
        <w:rPr>
          <w:rFonts w:ascii="Arial" w:hAnsi="Arial" w:cs="Arial"/>
        </w:rPr>
        <w:t xml:space="preserve">The Council has considered all the responses received during early engagement, and the first round of public consultation on the Update to the Affordable Housing SPD. </w:t>
      </w:r>
      <w:proofErr w:type="gramStart"/>
      <w:r w:rsidR="00374C11">
        <w:rPr>
          <w:rFonts w:ascii="Arial" w:hAnsi="Arial" w:cs="Arial"/>
        </w:rPr>
        <w:t>A number of</w:t>
      </w:r>
      <w:proofErr w:type="gramEnd"/>
      <w:r w:rsidR="00374C11">
        <w:rPr>
          <w:rFonts w:ascii="Arial" w:hAnsi="Arial" w:cs="Arial"/>
        </w:rPr>
        <w:t xml:space="preserve"> changes</w:t>
      </w:r>
      <w:r w:rsidR="00EA223A">
        <w:rPr>
          <w:rFonts w:ascii="Arial" w:hAnsi="Arial" w:cs="Arial"/>
        </w:rPr>
        <w:t xml:space="preserve"> have been made to the Update to the Affordable Housing SPD as a result of this consultation.</w:t>
      </w:r>
    </w:p>
    <w:p w14:paraId="11B36B3D" w14:textId="77777777" w:rsidR="00A36CA0" w:rsidRDefault="00A36CA0" w:rsidP="00A36CA0">
      <w:pPr>
        <w:pStyle w:val="ListParagraph"/>
        <w:rPr>
          <w:rFonts w:ascii="Arial" w:hAnsi="Arial" w:cs="Arial"/>
        </w:rPr>
      </w:pPr>
    </w:p>
    <w:p w14:paraId="579DB87A" w14:textId="655ABAA5" w:rsidR="005845B1" w:rsidRDefault="00A36CA0" w:rsidP="00B408D9">
      <w:pPr>
        <w:pStyle w:val="ListParagraph"/>
        <w:numPr>
          <w:ilvl w:val="0"/>
          <w:numId w:val="1"/>
        </w:numPr>
        <w:rPr>
          <w:rFonts w:ascii="Arial" w:hAnsi="Arial" w:cs="Arial"/>
        </w:rPr>
      </w:pPr>
      <w:r>
        <w:rPr>
          <w:rFonts w:ascii="Arial" w:hAnsi="Arial" w:cs="Arial"/>
        </w:rPr>
        <w:t>It has been decided that, as some of the proposed changes to the SPD necessitate quite significant changes to the contents of the document, a further round of public consultation will be undertaken between 30</w:t>
      </w:r>
      <w:r w:rsidRPr="00A36CA0">
        <w:rPr>
          <w:rFonts w:ascii="Arial" w:hAnsi="Arial" w:cs="Arial"/>
          <w:vertAlign w:val="superscript"/>
        </w:rPr>
        <w:t>th</w:t>
      </w:r>
      <w:r>
        <w:rPr>
          <w:rFonts w:ascii="Arial" w:hAnsi="Arial" w:cs="Arial"/>
        </w:rPr>
        <w:t xml:space="preserve"> September and the </w:t>
      </w:r>
      <w:proofErr w:type="gramStart"/>
      <w:r>
        <w:rPr>
          <w:rFonts w:ascii="Arial" w:hAnsi="Arial" w:cs="Arial"/>
        </w:rPr>
        <w:t>29</w:t>
      </w:r>
      <w:r w:rsidRPr="00A36CA0">
        <w:rPr>
          <w:rFonts w:ascii="Arial" w:hAnsi="Arial" w:cs="Arial"/>
          <w:vertAlign w:val="superscript"/>
        </w:rPr>
        <w:t>th</w:t>
      </w:r>
      <w:proofErr w:type="gramEnd"/>
      <w:r>
        <w:rPr>
          <w:rFonts w:ascii="Arial" w:hAnsi="Arial" w:cs="Arial"/>
        </w:rPr>
        <w:t xml:space="preserve"> October 2025. Once this consultation is complete, this Statement of Consultation will be updated to include references to any responses received</w:t>
      </w:r>
      <w:r w:rsidR="005D651A">
        <w:rPr>
          <w:rFonts w:ascii="Arial" w:hAnsi="Arial" w:cs="Arial"/>
        </w:rPr>
        <w:t>,</w:t>
      </w:r>
      <w:r>
        <w:rPr>
          <w:rFonts w:ascii="Arial" w:hAnsi="Arial" w:cs="Arial"/>
        </w:rPr>
        <w:t xml:space="preserve"> and to set out how the Planning Policy Team intends to amend the SPD, or not, to account for these changes. </w:t>
      </w:r>
    </w:p>
    <w:p w14:paraId="58BAF2D1" w14:textId="77777777" w:rsidR="005845B1" w:rsidRPr="005845B1" w:rsidRDefault="005845B1" w:rsidP="005845B1">
      <w:pPr>
        <w:pStyle w:val="ListParagraph"/>
        <w:rPr>
          <w:rFonts w:ascii="Arial" w:hAnsi="Arial" w:cs="Arial"/>
        </w:rPr>
      </w:pPr>
    </w:p>
    <w:p w14:paraId="54EE57F3" w14:textId="12111331" w:rsidR="00A36CA0" w:rsidRDefault="00B340D7" w:rsidP="00B408D9">
      <w:pPr>
        <w:pStyle w:val="ListParagraph"/>
        <w:numPr>
          <w:ilvl w:val="0"/>
          <w:numId w:val="1"/>
        </w:numPr>
        <w:rPr>
          <w:rFonts w:ascii="Arial" w:hAnsi="Arial" w:cs="Arial"/>
        </w:rPr>
      </w:pPr>
      <w:r w:rsidRPr="00B340D7">
        <w:rPr>
          <w:rFonts w:ascii="Arial" w:hAnsi="Arial" w:cs="Arial"/>
        </w:rPr>
        <w:t xml:space="preserve">Following the </w:t>
      </w:r>
      <w:r w:rsidR="000B2DD2">
        <w:rPr>
          <w:rFonts w:ascii="Arial" w:hAnsi="Arial" w:cs="Arial"/>
        </w:rPr>
        <w:t xml:space="preserve">completion of the second round of </w:t>
      </w:r>
      <w:r w:rsidRPr="00B340D7">
        <w:rPr>
          <w:rFonts w:ascii="Arial" w:hAnsi="Arial" w:cs="Arial"/>
        </w:rPr>
        <w:t xml:space="preserve">consultation, all comments received will be carefully reviewed and any amendments will be made to the draft SPD. A final version of the SPD will be prepared and presented to the Planning Committee for consideration to adopt it. It is anticipated that the SPD will be presented at </w:t>
      </w:r>
      <w:r w:rsidR="000B2DD2">
        <w:rPr>
          <w:rFonts w:ascii="Arial" w:hAnsi="Arial" w:cs="Arial"/>
        </w:rPr>
        <w:t xml:space="preserve">Planning </w:t>
      </w:r>
      <w:r w:rsidRPr="00B340D7">
        <w:rPr>
          <w:rFonts w:ascii="Arial" w:hAnsi="Arial" w:cs="Arial"/>
        </w:rPr>
        <w:t xml:space="preserve">Committee in </w:t>
      </w:r>
      <w:r w:rsidR="00B3038D">
        <w:rPr>
          <w:rFonts w:ascii="Arial" w:hAnsi="Arial" w:cs="Arial"/>
        </w:rPr>
        <w:t>late 2025</w:t>
      </w:r>
      <w:r w:rsidRPr="00B340D7">
        <w:rPr>
          <w:rFonts w:ascii="Arial" w:hAnsi="Arial" w:cs="Arial"/>
        </w:rPr>
        <w:t xml:space="preserve">, although this is subject to the volume and nature of comments received during public consultation. A further version of this Statement of Consultation will be prepared at adoption stage, as required by the Regulations. </w:t>
      </w:r>
      <w:r w:rsidR="00A36CA0">
        <w:rPr>
          <w:rFonts w:ascii="Arial" w:hAnsi="Arial" w:cs="Arial"/>
        </w:rPr>
        <w:t xml:space="preserve"> </w:t>
      </w:r>
    </w:p>
    <w:p w14:paraId="3EEF468C" w14:textId="77777777" w:rsidR="00A36CA0" w:rsidRPr="001C2A81" w:rsidRDefault="00A36CA0" w:rsidP="001C2A81">
      <w:pPr>
        <w:pStyle w:val="ListParagraph"/>
        <w:rPr>
          <w:rFonts w:ascii="Arial" w:hAnsi="Arial" w:cs="Arial"/>
          <w:bCs/>
        </w:rPr>
      </w:pPr>
    </w:p>
    <w:p w14:paraId="59584A5F" w14:textId="77777777" w:rsidR="00FD4CD8" w:rsidRDefault="00FD4CD8" w:rsidP="00FD4CD8">
      <w:pPr>
        <w:pStyle w:val="ListParagraph"/>
        <w:rPr>
          <w:rFonts w:ascii="Arial" w:hAnsi="Arial" w:cs="Arial"/>
        </w:rPr>
      </w:pPr>
    </w:p>
    <w:p w14:paraId="2B29F641" w14:textId="77777777" w:rsidR="00FD4CD8" w:rsidRPr="00FD4CD8" w:rsidRDefault="00FD4CD8" w:rsidP="00FD4CD8">
      <w:pPr>
        <w:pStyle w:val="ListParagraph"/>
        <w:rPr>
          <w:rFonts w:ascii="Arial" w:hAnsi="Arial" w:cs="Arial"/>
        </w:rPr>
      </w:pPr>
    </w:p>
    <w:p w14:paraId="620AC28B" w14:textId="16E76E7A" w:rsidR="00FF42FF" w:rsidRPr="00B93082" w:rsidRDefault="00FF42FF" w:rsidP="00C62AA5">
      <w:pPr>
        <w:pStyle w:val="ListParagraph"/>
        <w:ind w:firstLine="45"/>
        <w:rPr>
          <w:rFonts w:ascii="Arial" w:hAnsi="Arial" w:cs="Arial"/>
        </w:rPr>
      </w:pPr>
    </w:p>
    <w:p w14:paraId="1AE61AF0" w14:textId="08A4250F" w:rsidR="003C404F" w:rsidRPr="00B93082" w:rsidRDefault="003C404F" w:rsidP="003C404F">
      <w:pPr>
        <w:pStyle w:val="ListParagraph"/>
        <w:rPr>
          <w:rFonts w:ascii="Arial" w:hAnsi="Arial" w:cs="Arial"/>
        </w:rPr>
      </w:pPr>
    </w:p>
    <w:p w14:paraId="75225770" w14:textId="77777777" w:rsidR="00ED7A34" w:rsidRPr="00B93082" w:rsidRDefault="00ED7A34" w:rsidP="00ED7A34">
      <w:pPr>
        <w:pStyle w:val="ListParagraph"/>
        <w:rPr>
          <w:rFonts w:ascii="Arial" w:hAnsi="Arial" w:cs="Arial"/>
        </w:rPr>
      </w:pPr>
    </w:p>
    <w:p w14:paraId="586BA427" w14:textId="34854B7A" w:rsidR="00512D01" w:rsidRPr="00B93082" w:rsidRDefault="00512D01" w:rsidP="00512D01">
      <w:pPr>
        <w:rPr>
          <w:rFonts w:ascii="Arial" w:hAnsi="Arial" w:cs="Arial"/>
        </w:rPr>
      </w:pPr>
    </w:p>
    <w:p w14:paraId="78AD62F4" w14:textId="77777777" w:rsidR="00512D01" w:rsidRPr="00B93082" w:rsidRDefault="00512D01" w:rsidP="00512D01">
      <w:pPr>
        <w:rPr>
          <w:rFonts w:ascii="Arial" w:hAnsi="Arial" w:cs="Arial"/>
        </w:rPr>
      </w:pPr>
    </w:p>
    <w:p w14:paraId="29C31005" w14:textId="3B4A6383" w:rsidR="00512D01" w:rsidRPr="00B93082" w:rsidRDefault="00512D01" w:rsidP="00845C8A">
      <w:pPr>
        <w:pStyle w:val="ListParagraph"/>
        <w:rPr>
          <w:rFonts w:ascii="Arial" w:hAnsi="Arial" w:cs="Arial"/>
        </w:rPr>
      </w:pPr>
    </w:p>
    <w:p w14:paraId="2FD86E4F" w14:textId="727BD628" w:rsidR="003560F5" w:rsidRPr="00B93082" w:rsidRDefault="003560F5">
      <w:pPr>
        <w:rPr>
          <w:rFonts w:ascii="Arial" w:hAnsi="Arial" w:cs="Arial"/>
        </w:rPr>
      </w:pPr>
      <w:r w:rsidRPr="00B93082">
        <w:rPr>
          <w:rFonts w:ascii="Arial" w:hAnsi="Arial" w:cs="Arial"/>
        </w:rPr>
        <w:br w:type="page"/>
      </w:r>
    </w:p>
    <w:p w14:paraId="7368DDA4" w14:textId="77777777" w:rsidR="003560F5" w:rsidRPr="00B93082" w:rsidRDefault="003560F5" w:rsidP="00845C8A">
      <w:pPr>
        <w:pStyle w:val="ListParagraph"/>
        <w:rPr>
          <w:rFonts w:ascii="Arial" w:hAnsi="Arial" w:cs="Arial"/>
        </w:rPr>
        <w:sectPr w:rsidR="003560F5" w:rsidRPr="00B93082">
          <w:pgSz w:w="11906" w:h="16838"/>
          <w:pgMar w:top="1440" w:right="1440" w:bottom="1440" w:left="1440" w:header="708" w:footer="708" w:gutter="0"/>
          <w:cols w:space="708"/>
          <w:docGrid w:linePitch="360"/>
        </w:sectPr>
      </w:pPr>
    </w:p>
    <w:p w14:paraId="13D3B40B" w14:textId="72EA8C15" w:rsidR="00512D01" w:rsidRPr="00B93082" w:rsidRDefault="003560F5" w:rsidP="00845C8A">
      <w:pPr>
        <w:pStyle w:val="ListParagraph"/>
        <w:rPr>
          <w:rFonts w:ascii="Arial" w:hAnsi="Arial" w:cs="Arial"/>
          <w:b/>
          <w:bCs/>
          <w:sz w:val="28"/>
          <w:szCs w:val="28"/>
        </w:rPr>
      </w:pPr>
      <w:r w:rsidRPr="00B93082">
        <w:rPr>
          <w:rFonts w:ascii="Arial" w:hAnsi="Arial" w:cs="Arial"/>
          <w:b/>
          <w:bCs/>
          <w:sz w:val="28"/>
          <w:szCs w:val="28"/>
        </w:rPr>
        <w:lastRenderedPageBreak/>
        <w:t xml:space="preserve">RBC response to main comments raised in response to </w:t>
      </w:r>
      <w:r w:rsidR="00021C00">
        <w:rPr>
          <w:rFonts w:ascii="Arial" w:hAnsi="Arial" w:cs="Arial"/>
          <w:b/>
          <w:bCs/>
          <w:sz w:val="28"/>
          <w:szCs w:val="28"/>
        </w:rPr>
        <w:t>the public consultation held between 9</w:t>
      </w:r>
      <w:r w:rsidR="00021C00" w:rsidRPr="00021C00">
        <w:rPr>
          <w:rFonts w:ascii="Arial" w:hAnsi="Arial" w:cs="Arial"/>
          <w:b/>
          <w:bCs/>
          <w:sz w:val="28"/>
          <w:szCs w:val="28"/>
          <w:vertAlign w:val="superscript"/>
        </w:rPr>
        <w:t>th</w:t>
      </w:r>
      <w:r w:rsidR="00021C00">
        <w:rPr>
          <w:rFonts w:ascii="Arial" w:hAnsi="Arial" w:cs="Arial"/>
          <w:b/>
          <w:bCs/>
          <w:sz w:val="28"/>
          <w:szCs w:val="28"/>
        </w:rPr>
        <w:t xml:space="preserve"> June and 16</w:t>
      </w:r>
      <w:r w:rsidR="00021C00" w:rsidRPr="00021C00">
        <w:rPr>
          <w:rFonts w:ascii="Arial" w:hAnsi="Arial" w:cs="Arial"/>
          <w:b/>
          <w:bCs/>
          <w:sz w:val="28"/>
          <w:szCs w:val="28"/>
          <w:vertAlign w:val="superscript"/>
        </w:rPr>
        <w:t>th</w:t>
      </w:r>
      <w:r w:rsidR="00021C00">
        <w:rPr>
          <w:rFonts w:ascii="Arial" w:hAnsi="Arial" w:cs="Arial"/>
          <w:b/>
          <w:bCs/>
          <w:sz w:val="28"/>
          <w:szCs w:val="28"/>
        </w:rPr>
        <w:t xml:space="preserve"> July 2025. </w:t>
      </w:r>
    </w:p>
    <w:p w14:paraId="52685B7D" w14:textId="088ABC88" w:rsidR="003560F5" w:rsidRPr="00B93082" w:rsidRDefault="003560F5" w:rsidP="00845C8A">
      <w:pPr>
        <w:pStyle w:val="ListParagraph"/>
        <w:rPr>
          <w:rFonts w:ascii="Arial" w:hAnsi="Arial" w:cs="Arial"/>
        </w:rPr>
      </w:pPr>
    </w:p>
    <w:tbl>
      <w:tblPr>
        <w:tblStyle w:val="TableGrid1"/>
        <w:tblW w:w="14087" w:type="dxa"/>
        <w:tblInd w:w="0" w:type="dxa"/>
        <w:tblLook w:val="04A0" w:firstRow="1" w:lastRow="0" w:firstColumn="1" w:lastColumn="0" w:noHBand="0" w:noVBand="1"/>
      </w:tblPr>
      <w:tblGrid>
        <w:gridCol w:w="2408"/>
        <w:gridCol w:w="4675"/>
        <w:gridCol w:w="4536"/>
        <w:gridCol w:w="2468"/>
      </w:tblGrid>
      <w:tr w:rsidR="00FE4468" w:rsidRPr="00FE4468" w14:paraId="2547563A" w14:textId="77777777" w:rsidTr="0095127E">
        <w:trPr>
          <w:tblHeader/>
        </w:trPr>
        <w:tc>
          <w:tcPr>
            <w:tcW w:w="2408" w:type="dxa"/>
            <w:tcBorders>
              <w:top w:val="single" w:sz="4" w:space="0" w:color="auto"/>
              <w:left w:val="single" w:sz="4" w:space="0" w:color="auto"/>
              <w:bottom w:val="single" w:sz="4" w:space="0" w:color="auto"/>
              <w:right w:val="single" w:sz="4" w:space="0" w:color="auto"/>
            </w:tcBorders>
            <w:hideMark/>
          </w:tcPr>
          <w:p w14:paraId="22B07B0F" w14:textId="77777777" w:rsidR="00FE4468" w:rsidRPr="00FE4468" w:rsidRDefault="00FE4468" w:rsidP="00FE4468">
            <w:pPr>
              <w:rPr>
                <w:b/>
                <w:bCs/>
              </w:rPr>
            </w:pPr>
            <w:r w:rsidRPr="00FE4468">
              <w:rPr>
                <w:b/>
                <w:bCs/>
              </w:rPr>
              <w:t>Representor</w:t>
            </w:r>
          </w:p>
        </w:tc>
        <w:tc>
          <w:tcPr>
            <w:tcW w:w="4675" w:type="dxa"/>
            <w:tcBorders>
              <w:top w:val="single" w:sz="4" w:space="0" w:color="auto"/>
              <w:left w:val="single" w:sz="4" w:space="0" w:color="auto"/>
              <w:bottom w:val="single" w:sz="4" w:space="0" w:color="auto"/>
              <w:right w:val="single" w:sz="4" w:space="0" w:color="auto"/>
            </w:tcBorders>
            <w:hideMark/>
          </w:tcPr>
          <w:p w14:paraId="676DA538" w14:textId="77777777" w:rsidR="00FE4468" w:rsidRPr="00FE4468" w:rsidRDefault="00FE4468" w:rsidP="00FE4468">
            <w:pPr>
              <w:rPr>
                <w:b/>
                <w:bCs/>
              </w:rPr>
            </w:pPr>
            <w:r w:rsidRPr="00FE4468">
              <w:rPr>
                <w:b/>
                <w:bCs/>
              </w:rPr>
              <w:t>Summary of Representation</w:t>
            </w:r>
          </w:p>
        </w:tc>
        <w:tc>
          <w:tcPr>
            <w:tcW w:w="4536" w:type="dxa"/>
            <w:tcBorders>
              <w:top w:val="single" w:sz="4" w:space="0" w:color="auto"/>
              <w:left w:val="single" w:sz="4" w:space="0" w:color="auto"/>
              <w:bottom w:val="single" w:sz="4" w:space="0" w:color="auto"/>
              <w:right w:val="single" w:sz="4" w:space="0" w:color="auto"/>
            </w:tcBorders>
            <w:hideMark/>
          </w:tcPr>
          <w:p w14:paraId="74684D14" w14:textId="77777777" w:rsidR="00FE4468" w:rsidRPr="00FE4468" w:rsidRDefault="00FE4468" w:rsidP="00FE4468">
            <w:pPr>
              <w:rPr>
                <w:b/>
                <w:bCs/>
              </w:rPr>
            </w:pPr>
            <w:r w:rsidRPr="00FE4468">
              <w:rPr>
                <w:b/>
                <w:bCs/>
              </w:rPr>
              <w:t>Council’s Response</w:t>
            </w:r>
          </w:p>
        </w:tc>
        <w:tc>
          <w:tcPr>
            <w:tcW w:w="2468" w:type="dxa"/>
            <w:tcBorders>
              <w:top w:val="single" w:sz="4" w:space="0" w:color="auto"/>
              <w:left w:val="single" w:sz="4" w:space="0" w:color="auto"/>
              <w:bottom w:val="single" w:sz="4" w:space="0" w:color="auto"/>
              <w:right w:val="single" w:sz="4" w:space="0" w:color="auto"/>
            </w:tcBorders>
            <w:hideMark/>
          </w:tcPr>
          <w:p w14:paraId="6061DC25" w14:textId="77777777" w:rsidR="00FE4468" w:rsidRPr="00FE4468" w:rsidRDefault="00FE4468" w:rsidP="00FE4468">
            <w:pPr>
              <w:rPr>
                <w:b/>
                <w:bCs/>
              </w:rPr>
            </w:pPr>
            <w:r w:rsidRPr="00FE4468">
              <w:rPr>
                <w:b/>
                <w:bCs/>
              </w:rPr>
              <w:t>Amend SPD?</w:t>
            </w:r>
          </w:p>
        </w:tc>
      </w:tr>
      <w:tr w:rsidR="00FE4468" w:rsidRPr="00FE4468" w14:paraId="7160547C" w14:textId="77777777" w:rsidTr="0095127E">
        <w:tc>
          <w:tcPr>
            <w:tcW w:w="2408" w:type="dxa"/>
            <w:vMerge w:val="restart"/>
            <w:tcBorders>
              <w:top w:val="single" w:sz="4" w:space="0" w:color="auto"/>
              <w:left w:val="single" w:sz="4" w:space="0" w:color="auto"/>
              <w:bottom w:val="single" w:sz="4" w:space="0" w:color="auto"/>
              <w:right w:val="single" w:sz="4" w:space="0" w:color="auto"/>
            </w:tcBorders>
            <w:hideMark/>
          </w:tcPr>
          <w:p w14:paraId="3CC3C04B" w14:textId="77777777" w:rsidR="00FE4468" w:rsidRPr="00FE4468" w:rsidRDefault="00FE4468" w:rsidP="00FE4468">
            <w:pPr>
              <w:rPr>
                <w:b/>
                <w:bCs/>
              </w:rPr>
            </w:pPr>
            <w:r w:rsidRPr="00FE4468">
              <w:rPr>
                <w:b/>
                <w:bCs/>
              </w:rPr>
              <w:t>Abri</w:t>
            </w:r>
          </w:p>
        </w:tc>
        <w:tc>
          <w:tcPr>
            <w:tcW w:w="4675" w:type="dxa"/>
            <w:tcBorders>
              <w:top w:val="single" w:sz="4" w:space="0" w:color="auto"/>
              <w:left w:val="single" w:sz="4" w:space="0" w:color="auto"/>
              <w:bottom w:val="single" w:sz="4" w:space="0" w:color="auto"/>
              <w:right w:val="single" w:sz="4" w:space="0" w:color="auto"/>
            </w:tcBorders>
            <w:hideMark/>
          </w:tcPr>
          <w:p w14:paraId="3CB4D330" w14:textId="77777777" w:rsidR="00FE4468" w:rsidRPr="00FE4468" w:rsidRDefault="00FE4468" w:rsidP="00FE4468">
            <w:r w:rsidRPr="00FE4468">
              <w:t xml:space="preserve">We support the intention of paragraph </w:t>
            </w:r>
            <w:proofErr w:type="gramStart"/>
            <w:r w:rsidRPr="00FE4468">
              <w:t>2.1.4, but</w:t>
            </w:r>
            <w:proofErr w:type="gramEnd"/>
            <w:r w:rsidRPr="00FE4468">
              <w:t xml:space="preserve"> note that in the case of outline planning applications it will not always be possible to be clear on how the potential affordable housing requirement from that development will be met, as acknowledged in paragraph 4.1.6. The reference to declaring an application invalid </w:t>
            </w:r>
            <w:proofErr w:type="gramStart"/>
            <w:r w:rsidRPr="00FE4468">
              <w:t>on the basis of</w:t>
            </w:r>
            <w:proofErr w:type="gramEnd"/>
            <w:r w:rsidRPr="00FE4468">
              <w:t xml:space="preserve"> not setting out the details of the affordable housing delivery should be clarified to refer to those applications in which the full detail of the housing number is known.  </w:t>
            </w:r>
          </w:p>
        </w:tc>
        <w:tc>
          <w:tcPr>
            <w:tcW w:w="4536" w:type="dxa"/>
            <w:tcBorders>
              <w:top w:val="single" w:sz="4" w:space="0" w:color="auto"/>
              <w:left w:val="single" w:sz="4" w:space="0" w:color="auto"/>
              <w:bottom w:val="single" w:sz="4" w:space="0" w:color="auto"/>
              <w:right w:val="single" w:sz="4" w:space="0" w:color="auto"/>
            </w:tcBorders>
            <w:hideMark/>
          </w:tcPr>
          <w:p w14:paraId="0016BF65" w14:textId="77777777" w:rsidR="00FE4468" w:rsidRPr="00FE4468" w:rsidRDefault="00FE4468" w:rsidP="00FE4468">
            <w:r w:rsidRPr="00FE4468">
              <w:t>Agree that we could clarify this wording to include the following “If an application for 10 units or more (net)</w:t>
            </w:r>
            <w:r w:rsidRPr="00FE4468">
              <w:rPr>
                <w:color w:val="FF0000"/>
              </w:rPr>
              <w:t xml:space="preserve">, this does not include outline applications, </w:t>
            </w:r>
            <w:r w:rsidRPr="00FE4468">
              <w:t>does not set out how the affordable housing requirement will be provided, the application will not be validated and will be returned to the applicant.</w:t>
            </w:r>
          </w:p>
        </w:tc>
        <w:tc>
          <w:tcPr>
            <w:tcW w:w="2468" w:type="dxa"/>
            <w:tcBorders>
              <w:top w:val="single" w:sz="4" w:space="0" w:color="auto"/>
              <w:left w:val="single" w:sz="4" w:space="0" w:color="auto"/>
              <w:bottom w:val="single" w:sz="4" w:space="0" w:color="auto"/>
              <w:right w:val="single" w:sz="4" w:space="0" w:color="auto"/>
            </w:tcBorders>
            <w:hideMark/>
          </w:tcPr>
          <w:p w14:paraId="03B928D6" w14:textId="3BF2393B" w:rsidR="00FE4468" w:rsidRPr="00FE4468" w:rsidRDefault="00FE4468" w:rsidP="00FE4468">
            <w:r w:rsidRPr="00FE4468">
              <w:t>Yes. Include additional wording as set out in red in the proceeding column in para 2.1.</w:t>
            </w:r>
            <w:r w:rsidR="006F3F16">
              <w:t>4</w:t>
            </w:r>
            <w:r w:rsidRPr="00FE4468">
              <w:t>.</w:t>
            </w:r>
          </w:p>
        </w:tc>
      </w:tr>
      <w:tr w:rsidR="00FE4468" w:rsidRPr="00FE4468" w14:paraId="0CCECB22" w14:textId="77777777" w:rsidTr="0095127E">
        <w:tc>
          <w:tcPr>
            <w:tcW w:w="0" w:type="auto"/>
            <w:vMerge/>
            <w:tcBorders>
              <w:top w:val="single" w:sz="4" w:space="0" w:color="auto"/>
              <w:left w:val="single" w:sz="4" w:space="0" w:color="auto"/>
              <w:bottom w:val="single" w:sz="4" w:space="0" w:color="auto"/>
              <w:right w:val="single" w:sz="4" w:space="0" w:color="auto"/>
            </w:tcBorders>
            <w:vAlign w:val="center"/>
            <w:hideMark/>
          </w:tcPr>
          <w:p w14:paraId="17961021" w14:textId="77777777" w:rsidR="00FE4468" w:rsidRPr="00FE4468" w:rsidRDefault="00FE4468" w:rsidP="00FE4468">
            <w:pPr>
              <w:rPr>
                <w:b/>
                <w:bCs/>
              </w:rPr>
            </w:pPr>
          </w:p>
        </w:tc>
        <w:tc>
          <w:tcPr>
            <w:tcW w:w="4675" w:type="dxa"/>
            <w:tcBorders>
              <w:top w:val="single" w:sz="4" w:space="0" w:color="auto"/>
              <w:left w:val="single" w:sz="4" w:space="0" w:color="auto"/>
              <w:bottom w:val="single" w:sz="4" w:space="0" w:color="auto"/>
              <w:right w:val="single" w:sz="4" w:space="0" w:color="auto"/>
            </w:tcBorders>
          </w:tcPr>
          <w:p w14:paraId="72F585CC" w14:textId="77777777" w:rsidR="00FE4468" w:rsidRPr="00FE4468" w:rsidRDefault="00FE4468" w:rsidP="00FE4468">
            <w:r w:rsidRPr="00FE4468">
              <w:t xml:space="preserve">The intention for applicants to seek the latest template S106 from Legal Services is generally supported, </w:t>
            </w:r>
            <w:proofErr w:type="gramStart"/>
            <w:r w:rsidRPr="00FE4468">
              <w:t>however</w:t>
            </w:r>
            <w:proofErr w:type="gramEnd"/>
            <w:r w:rsidRPr="00FE4468">
              <w:t xml:space="preserve"> to lessen the burden on what is typically a very under-resourced department, it may be more useful to publish such information on the planning policy webpages.</w:t>
            </w:r>
          </w:p>
        </w:tc>
        <w:tc>
          <w:tcPr>
            <w:tcW w:w="4536" w:type="dxa"/>
            <w:tcBorders>
              <w:top w:val="single" w:sz="4" w:space="0" w:color="auto"/>
              <w:left w:val="single" w:sz="4" w:space="0" w:color="auto"/>
              <w:bottom w:val="single" w:sz="4" w:space="0" w:color="auto"/>
              <w:right w:val="single" w:sz="4" w:space="0" w:color="auto"/>
            </w:tcBorders>
          </w:tcPr>
          <w:p w14:paraId="501ACBB5" w14:textId="065371A5" w:rsidR="00FE4468" w:rsidRPr="00FE4468" w:rsidRDefault="00FE4468" w:rsidP="00FE4468">
            <w:r w:rsidRPr="00FE4468">
              <w:t>The Council’s Legal Services team were asked whether it would be beneficial to them to have the template s106</w:t>
            </w:r>
            <w:proofErr w:type="gramStart"/>
            <w:r w:rsidRPr="00FE4468">
              <w:t>, as a whole, i.e.</w:t>
            </w:r>
            <w:proofErr w:type="gramEnd"/>
            <w:r w:rsidRPr="00FE4468">
              <w:t xml:space="preserve"> not just the part that relates to Affordable Housing, put onto the Council’s website. They advised that they prefer to keep things as they are currently, and not put the s106 template onto the website.</w:t>
            </w:r>
          </w:p>
        </w:tc>
        <w:tc>
          <w:tcPr>
            <w:tcW w:w="2468" w:type="dxa"/>
            <w:tcBorders>
              <w:top w:val="single" w:sz="4" w:space="0" w:color="auto"/>
              <w:left w:val="single" w:sz="4" w:space="0" w:color="auto"/>
              <w:bottom w:val="single" w:sz="4" w:space="0" w:color="auto"/>
              <w:right w:val="single" w:sz="4" w:space="0" w:color="auto"/>
            </w:tcBorders>
          </w:tcPr>
          <w:p w14:paraId="2F05CE79" w14:textId="77777777" w:rsidR="00FE4468" w:rsidRPr="00FE4468" w:rsidRDefault="00FE4468" w:rsidP="00FE4468">
            <w:r w:rsidRPr="00FE4468">
              <w:t>No change.</w:t>
            </w:r>
          </w:p>
        </w:tc>
      </w:tr>
    </w:tbl>
    <w:tbl>
      <w:tblPr>
        <w:tblW w:w="14090" w:type="dxa"/>
        <w:tblInd w:w="10" w:type="dxa"/>
        <w:tblBorders>
          <w:top w:val="single" w:sz="4" w:space="0" w:color="auto"/>
        </w:tblBorders>
        <w:tblLook w:val="0000" w:firstRow="0" w:lastRow="0" w:firstColumn="0" w:lastColumn="0" w:noHBand="0" w:noVBand="0"/>
      </w:tblPr>
      <w:tblGrid>
        <w:gridCol w:w="10"/>
        <w:gridCol w:w="14030"/>
        <w:gridCol w:w="50"/>
      </w:tblGrid>
      <w:tr w:rsidR="00FE4468" w:rsidRPr="00FE4468" w14:paraId="41D411C7" w14:textId="77777777" w:rsidTr="0095127E">
        <w:trPr>
          <w:gridBefore w:val="1"/>
          <w:gridAfter w:val="1"/>
          <w:wBefore w:w="10" w:type="dxa"/>
          <w:wAfter w:w="50" w:type="dxa"/>
          <w:trHeight w:val="100"/>
        </w:trPr>
        <w:tc>
          <w:tcPr>
            <w:tcW w:w="14030" w:type="dxa"/>
          </w:tcPr>
          <w:p w14:paraId="74537C4A" w14:textId="77777777" w:rsidR="00FE4468" w:rsidRPr="00FE4468" w:rsidRDefault="00FE4468" w:rsidP="00FE4468">
            <w:pPr>
              <w:spacing w:after="0" w:line="240" w:lineRule="auto"/>
              <w:rPr>
                <w:rFonts w:ascii="Calibri" w:eastAsia="Calibri" w:hAnsi="Calibri" w:cs="Times New Roman"/>
                <w:b/>
                <w:bCs/>
              </w:rPr>
            </w:pPr>
          </w:p>
        </w:tc>
      </w:tr>
      <w:tr w:rsidR="00FE4468" w:rsidRPr="00FE4468" w14:paraId="3D2BCA68" w14:textId="77777777" w:rsidTr="0095127E">
        <w:trPr>
          <w:trHeight w:val="100"/>
        </w:trPr>
        <w:tc>
          <w:tcPr>
            <w:tcW w:w="14090" w:type="dxa"/>
            <w:gridSpan w:val="3"/>
          </w:tcPr>
          <w:p w14:paraId="7FBAD289" w14:textId="77777777" w:rsidR="00FE4468" w:rsidRPr="00FE4468" w:rsidRDefault="00FE4468" w:rsidP="00FE4468">
            <w:pPr>
              <w:spacing w:after="0" w:line="240" w:lineRule="auto"/>
              <w:rPr>
                <w:rFonts w:ascii="Calibri" w:eastAsia="Calibri" w:hAnsi="Calibri" w:cs="Times New Roman"/>
                <w:b/>
                <w:bCs/>
              </w:rPr>
            </w:pPr>
          </w:p>
        </w:tc>
      </w:tr>
    </w:tbl>
    <w:tbl>
      <w:tblPr>
        <w:tblStyle w:val="TableGrid1"/>
        <w:tblW w:w="14087" w:type="dxa"/>
        <w:tblInd w:w="0" w:type="dxa"/>
        <w:tblLook w:val="04A0" w:firstRow="1" w:lastRow="0" w:firstColumn="1" w:lastColumn="0" w:noHBand="0" w:noVBand="1"/>
      </w:tblPr>
      <w:tblGrid>
        <w:gridCol w:w="2408"/>
        <w:gridCol w:w="4675"/>
        <w:gridCol w:w="4536"/>
        <w:gridCol w:w="2468"/>
      </w:tblGrid>
      <w:tr w:rsidR="00FE4468" w:rsidRPr="00FE4468" w14:paraId="1ACE84E9" w14:textId="77777777" w:rsidTr="0095127E">
        <w:trPr>
          <w:trHeight w:val="9974"/>
        </w:trPr>
        <w:tc>
          <w:tcPr>
            <w:tcW w:w="0" w:type="auto"/>
            <w:tcBorders>
              <w:top w:val="single" w:sz="4" w:space="0" w:color="auto"/>
              <w:left w:val="single" w:sz="4" w:space="0" w:color="auto"/>
              <w:right w:val="single" w:sz="4" w:space="0" w:color="auto"/>
            </w:tcBorders>
            <w:vAlign w:val="center"/>
            <w:hideMark/>
          </w:tcPr>
          <w:p w14:paraId="5400BC57" w14:textId="77777777" w:rsidR="00FE4468" w:rsidRPr="00FE4468" w:rsidRDefault="00FE4468" w:rsidP="00FE4468">
            <w:pPr>
              <w:rPr>
                <w:b/>
                <w:bCs/>
              </w:rPr>
            </w:pPr>
            <w:bookmarkStart w:id="2" w:name="_Hlk208318609"/>
          </w:p>
        </w:tc>
        <w:tc>
          <w:tcPr>
            <w:tcW w:w="4675" w:type="dxa"/>
            <w:tcBorders>
              <w:top w:val="single" w:sz="4" w:space="0" w:color="auto"/>
              <w:left w:val="single" w:sz="4" w:space="0" w:color="auto"/>
              <w:right w:val="single" w:sz="4" w:space="0" w:color="auto"/>
            </w:tcBorders>
          </w:tcPr>
          <w:p w14:paraId="3B46372A" w14:textId="77777777" w:rsidR="00FE4468" w:rsidRPr="00FE4468" w:rsidRDefault="00FE4468" w:rsidP="00FE4468">
            <w:r w:rsidRPr="00FE4468">
              <w:t xml:space="preserve">Many Registered Providers, in seeking to maximise the number of affordable homes being delivered, increasingly purchase larger numbers of homes than specified in a development’s S106 Agreement, or the entire site. This has the benefits of delivering a larger quantum of affordable homes in a shorter </w:t>
            </w:r>
            <w:proofErr w:type="gramStart"/>
            <w:r w:rsidRPr="00FE4468">
              <w:t>period of time</w:t>
            </w:r>
            <w:proofErr w:type="gramEnd"/>
            <w:r w:rsidRPr="00FE4468">
              <w:t xml:space="preserve"> and allowing for the use of grant funding to deliver ‘additionality’. As Homes England grant funding cannot be used to cross-subsidise dwellings to be delivered in a S106 Agreement it is important for any additional affordable homes to remain ‘outside’ the S106. This makes the Council’s reference at 2.3.11 to requiring additional delivery to be brought inside the S106 Agreement challenging.</w:t>
            </w:r>
          </w:p>
          <w:p w14:paraId="0FBF0CC5" w14:textId="77777777" w:rsidR="00FE4468" w:rsidRPr="00FE4468" w:rsidRDefault="00FE4468" w:rsidP="00FE4468">
            <w:r w:rsidRPr="00FE4468">
              <w:t>As well as the often-lengthy delays that are incurred when seeking to vary a S106 Agreement it can be difficult to reach a mutual understanding of the reasons for keeping ‘additionality’ outside the S106, making template agreements a useful tool for all parties. Homes England provided the information appended to these comments in response to the need for general understanding on how ‘additionality’ can be captured in S106 without fettering the additional dwellings and so preventing the use of grant funding. We welcome discussion on this and suggest that the Council incorporates such wording into their template agreement for general use.</w:t>
            </w:r>
          </w:p>
        </w:tc>
        <w:tc>
          <w:tcPr>
            <w:tcW w:w="4536" w:type="dxa"/>
            <w:tcBorders>
              <w:top w:val="single" w:sz="4" w:space="0" w:color="auto"/>
              <w:left w:val="single" w:sz="4" w:space="0" w:color="auto"/>
              <w:right w:val="single" w:sz="4" w:space="0" w:color="auto"/>
            </w:tcBorders>
          </w:tcPr>
          <w:p w14:paraId="2E9E93F7" w14:textId="77777777" w:rsidR="00156347" w:rsidRDefault="006F4EED" w:rsidP="00C5732A">
            <w:pPr>
              <w:rPr>
                <w:rFonts w:asciiTheme="minorHAnsi" w:eastAsia="Aptos" w:hAnsiTheme="minorHAnsi" w:cstheme="minorHAnsi"/>
                <w14:ligatures w14:val="standardContextual"/>
              </w:rPr>
            </w:pPr>
            <w:r>
              <w:rPr>
                <w:rFonts w:asciiTheme="minorHAnsi" w:eastAsia="Aptos" w:hAnsiTheme="minorHAnsi" w:cstheme="minorHAnsi"/>
                <w14:ligatures w14:val="standardContextual"/>
              </w:rPr>
              <w:t xml:space="preserve">There is no policy requirement for additionality </w:t>
            </w:r>
            <w:r w:rsidR="00156347">
              <w:rPr>
                <w:rFonts w:asciiTheme="minorHAnsi" w:eastAsia="Aptos" w:hAnsiTheme="minorHAnsi" w:cstheme="minorHAnsi"/>
                <w14:ligatures w14:val="standardContextual"/>
              </w:rPr>
              <w:t xml:space="preserve">and therefore it is not included in our draft templates. </w:t>
            </w:r>
          </w:p>
          <w:p w14:paraId="3D6F82B4" w14:textId="77777777" w:rsidR="00156347" w:rsidRDefault="00156347" w:rsidP="00C5732A">
            <w:pPr>
              <w:rPr>
                <w:rFonts w:asciiTheme="minorHAnsi" w:eastAsia="Aptos" w:hAnsiTheme="minorHAnsi" w:cstheme="minorHAnsi"/>
                <w14:ligatures w14:val="standardContextual"/>
              </w:rPr>
            </w:pPr>
          </w:p>
          <w:p w14:paraId="0F22EABB" w14:textId="3DE2BC87" w:rsidR="00863FA5" w:rsidRDefault="00156347" w:rsidP="00C5732A">
            <w:pPr>
              <w:rPr>
                <w:rFonts w:asciiTheme="minorHAnsi" w:eastAsia="Aptos" w:hAnsiTheme="minorHAnsi" w:cstheme="minorHAnsi"/>
                <w14:ligatures w14:val="standardContextual"/>
              </w:rPr>
            </w:pPr>
            <w:r>
              <w:rPr>
                <w:rFonts w:asciiTheme="minorHAnsi" w:eastAsia="Aptos" w:hAnsiTheme="minorHAnsi" w:cstheme="minorHAnsi"/>
                <w14:ligatures w14:val="standardContextual"/>
              </w:rPr>
              <w:t xml:space="preserve">However, if in the determination of an </w:t>
            </w:r>
            <w:r w:rsidR="00324F03">
              <w:rPr>
                <w:rFonts w:asciiTheme="minorHAnsi" w:eastAsia="Aptos" w:hAnsiTheme="minorHAnsi" w:cstheme="minorHAnsi"/>
                <w14:ligatures w14:val="standardContextual"/>
              </w:rPr>
              <w:t>application, additional weight is given to the provision of additional affordable housing by the decision maker</w:t>
            </w:r>
            <w:r w:rsidR="00541531">
              <w:rPr>
                <w:rFonts w:asciiTheme="minorHAnsi" w:eastAsia="Aptos" w:hAnsiTheme="minorHAnsi" w:cstheme="minorHAnsi"/>
                <w14:ligatures w14:val="standardContextual"/>
              </w:rPr>
              <w:t>,</w:t>
            </w:r>
            <w:r w:rsidR="00324F03">
              <w:rPr>
                <w:rFonts w:asciiTheme="minorHAnsi" w:eastAsia="Aptos" w:hAnsiTheme="minorHAnsi" w:cstheme="minorHAnsi"/>
                <w14:ligatures w14:val="standardContextual"/>
              </w:rPr>
              <w:t xml:space="preserve"> </w:t>
            </w:r>
            <w:r w:rsidR="00725E41">
              <w:rPr>
                <w:rFonts w:asciiTheme="minorHAnsi" w:eastAsia="Aptos" w:hAnsiTheme="minorHAnsi" w:cstheme="minorHAnsi"/>
                <w14:ligatures w14:val="standardContextual"/>
              </w:rPr>
              <w:t xml:space="preserve">and it is considered that this needs to be secured through a s106 agreement, such a clause </w:t>
            </w:r>
            <w:r w:rsidR="00863FA5">
              <w:rPr>
                <w:rFonts w:asciiTheme="minorHAnsi" w:eastAsia="Aptos" w:hAnsiTheme="minorHAnsi" w:cstheme="minorHAnsi"/>
                <w14:ligatures w14:val="standardContextual"/>
              </w:rPr>
              <w:t>can be incorporated at the time of drafting.</w:t>
            </w:r>
          </w:p>
          <w:p w14:paraId="46411D85" w14:textId="77777777" w:rsidR="00863FA5" w:rsidRDefault="00863FA5" w:rsidP="00C5732A">
            <w:pPr>
              <w:rPr>
                <w:rFonts w:asciiTheme="minorHAnsi" w:eastAsia="Aptos" w:hAnsiTheme="minorHAnsi" w:cstheme="minorHAnsi"/>
                <w14:ligatures w14:val="standardContextual"/>
              </w:rPr>
            </w:pPr>
          </w:p>
          <w:p w14:paraId="38C32FCA" w14:textId="3EFB8AC6" w:rsidR="00C5732A" w:rsidRPr="00C5732A" w:rsidRDefault="00863FA5" w:rsidP="00BB71E6">
            <w:pPr>
              <w:rPr>
                <w:rFonts w:asciiTheme="minorHAnsi" w:eastAsia="Aptos" w:hAnsiTheme="minorHAnsi" w:cstheme="minorHAnsi"/>
                <w14:ligatures w14:val="standardContextual"/>
              </w:rPr>
            </w:pPr>
            <w:r>
              <w:rPr>
                <w:rFonts w:asciiTheme="minorHAnsi" w:eastAsia="Aptos" w:hAnsiTheme="minorHAnsi" w:cstheme="minorHAnsi"/>
                <w14:ligatures w14:val="standardContextual"/>
              </w:rPr>
              <w:t xml:space="preserve">Additionality also has implications regarding </w:t>
            </w:r>
            <w:r w:rsidR="00BB71E6">
              <w:rPr>
                <w:rFonts w:asciiTheme="minorHAnsi" w:eastAsia="Aptos" w:hAnsiTheme="minorHAnsi" w:cstheme="minorHAnsi"/>
                <w14:ligatures w14:val="standardContextual"/>
              </w:rPr>
              <w:t xml:space="preserve">the provision of infrastructure and needs to be considered on a case-by-case basis. </w:t>
            </w:r>
          </w:p>
          <w:p w14:paraId="044943F3" w14:textId="77777777" w:rsidR="00C5732A" w:rsidRDefault="00C5732A" w:rsidP="00FE4468"/>
          <w:p w14:paraId="1A477DB7" w14:textId="324D97F2" w:rsidR="007D489A" w:rsidRPr="00FE4468" w:rsidRDefault="007D489A" w:rsidP="00FE4468">
            <w:r>
              <w:t>It is proposed to delete paragraph 2.3.11</w:t>
            </w:r>
            <w:r w:rsidR="00630425">
              <w:t>,</w:t>
            </w:r>
            <w:r>
              <w:t xml:space="preserve"> which provides details </w:t>
            </w:r>
            <w:r w:rsidR="00630425">
              <w:t>on the s106 agreement and a</w:t>
            </w:r>
            <w:r w:rsidR="00CD1CC1">
              <w:t>dditionality</w:t>
            </w:r>
            <w:r w:rsidR="00630425">
              <w:t xml:space="preserve"> and instead to amend the </w:t>
            </w:r>
            <w:r w:rsidR="007B763D">
              <w:t>preceding</w:t>
            </w:r>
            <w:r w:rsidR="00630425">
              <w:t xml:space="preserve"> paragraph</w:t>
            </w:r>
            <w:r w:rsidR="00CD1CC1">
              <w:t xml:space="preserve"> </w:t>
            </w:r>
            <w:r w:rsidR="007B763D">
              <w:t>(</w:t>
            </w:r>
            <w:r w:rsidR="00CD1CC1">
              <w:t>2.3.10</w:t>
            </w:r>
            <w:r w:rsidR="003E2A44">
              <w:t>)</w:t>
            </w:r>
            <w:r w:rsidR="00CD1CC1">
              <w:t xml:space="preserve"> to make it clear that</w:t>
            </w:r>
            <w:r w:rsidR="00466C6E">
              <w:t xml:space="preserve"> additionality cases will be decided on a case-by-case basis.</w:t>
            </w:r>
            <w:r w:rsidR="00CD1CC1">
              <w:t xml:space="preserve"> </w:t>
            </w:r>
          </w:p>
        </w:tc>
        <w:tc>
          <w:tcPr>
            <w:tcW w:w="2468" w:type="dxa"/>
            <w:tcBorders>
              <w:top w:val="single" w:sz="4" w:space="0" w:color="auto"/>
              <w:left w:val="single" w:sz="4" w:space="0" w:color="auto"/>
              <w:right w:val="single" w:sz="4" w:space="0" w:color="auto"/>
            </w:tcBorders>
          </w:tcPr>
          <w:p w14:paraId="43AE8FC6" w14:textId="71734794" w:rsidR="00FE4468" w:rsidRPr="00FE4468" w:rsidRDefault="00466C6E" w:rsidP="00FE4468">
            <w:r>
              <w:t xml:space="preserve">Delete para. </w:t>
            </w:r>
            <w:r w:rsidR="00205738">
              <w:t>2.3.11 and add additional wording to para. 2.3.10</w:t>
            </w:r>
            <w:r w:rsidR="004A28DA">
              <w:t xml:space="preserve"> </w:t>
            </w:r>
            <w:r w:rsidR="00D022C1">
              <w:t>3</w:t>
            </w:r>
            <w:r w:rsidR="00D022C1" w:rsidRPr="00D022C1">
              <w:rPr>
                <w:vertAlign w:val="superscript"/>
              </w:rPr>
              <w:t>rd</w:t>
            </w:r>
            <w:r w:rsidR="00D022C1">
              <w:t xml:space="preserve"> line </w:t>
            </w:r>
            <w:proofErr w:type="gramStart"/>
            <w:r w:rsidR="00D022C1">
              <w:t>delete</w:t>
            </w:r>
            <w:proofErr w:type="gramEnd"/>
            <w:r w:rsidR="00D022C1">
              <w:t xml:space="preserve"> “as the tenure mix will often depend of what grant the provider is able to achieve</w:t>
            </w:r>
            <w:r w:rsidR="007D7866">
              <w:t>” and replace with “due to funding arrangements”</w:t>
            </w:r>
            <w:r w:rsidR="00205738">
              <w:t xml:space="preserve"> at the end </w:t>
            </w:r>
            <w:r w:rsidR="00235BD9">
              <w:t xml:space="preserve">of the paragraph add in the following </w:t>
            </w:r>
            <w:r w:rsidR="00205738">
              <w:t>“</w:t>
            </w:r>
            <w:r w:rsidR="006F101B" w:rsidRPr="00013F90">
              <w:rPr>
                <w:color w:val="FF0000"/>
              </w:rPr>
              <w:t>This will be considered by Development Management Officers on a case-by-case basis</w:t>
            </w:r>
            <w:r w:rsidR="006F101B">
              <w:t>.”</w:t>
            </w:r>
          </w:p>
        </w:tc>
      </w:tr>
      <w:bookmarkEnd w:id="2"/>
      <w:tr w:rsidR="00FE4468" w:rsidRPr="00FE4468" w14:paraId="2915301F" w14:textId="77777777" w:rsidTr="0095127E">
        <w:tc>
          <w:tcPr>
            <w:tcW w:w="0" w:type="auto"/>
            <w:vMerge w:val="restart"/>
            <w:tcBorders>
              <w:top w:val="single" w:sz="4" w:space="0" w:color="auto"/>
              <w:left w:val="single" w:sz="4" w:space="0" w:color="auto"/>
              <w:right w:val="single" w:sz="4" w:space="0" w:color="auto"/>
            </w:tcBorders>
            <w:vAlign w:val="center"/>
          </w:tcPr>
          <w:p w14:paraId="7FCD9A49" w14:textId="77777777" w:rsidR="00FE4468" w:rsidRPr="00FE4468" w:rsidRDefault="00FE4468" w:rsidP="00FE4468">
            <w:pPr>
              <w:rPr>
                <w:rFonts w:ascii="Arial" w:hAnsi="Arial"/>
              </w:rPr>
            </w:pPr>
          </w:p>
        </w:tc>
        <w:tc>
          <w:tcPr>
            <w:tcW w:w="4675" w:type="dxa"/>
            <w:tcBorders>
              <w:top w:val="single" w:sz="4" w:space="0" w:color="auto"/>
              <w:left w:val="single" w:sz="4" w:space="0" w:color="auto"/>
              <w:bottom w:val="single" w:sz="4" w:space="0" w:color="auto"/>
              <w:right w:val="single" w:sz="4" w:space="0" w:color="auto"/>
            </w:tcBorders>
          </w:tcPr>
          <w:p w14:paraId="0DA4D2D7" w14:textId="77777777" w:rsidR="00FE4468" w:rsidRPr="00FE4468" w:rsidRDefault="00FE4468" w:rsidP="00FE4468">
            <w:r w:rsidRPr="00FE4468">
              <w:t xml:space="preserve">Abri supports the proposed revocation of the First Homes Interim Policy Statement with </w:t>
            </w:r>
            <w:proofErr w:type="gramStart"/>
            <w:r w:rsidRPr="00FE4468">
              <w:t>up to date</w:t>
            </w:r>
            <w:proofErr w:type="gramEnd"/>
            <w:r w:rsidRPr="00FE4468">
              <w:t xml:space="preserve"> policy in this SPD.</w:t>
            </w:r>
          </w:p>
        </w:tc>
        <w:tc>
          <w:tcPr>
            <w:tcW w:w="4536" w:type="dxa"/>
            <w:tcBorders>
              <w:top w:val="single" w:sz="4" w:space="0" w:color="auto"/>
              <w:left w:val="single" w:sz="4" w:space="0" w:color="auto"/>
              <w:bottom w:val="single" w:sz="4" w:space="0" w:color="auto"/>
              <w:right w:val="single" w:sz="4" w:space="0" w:color="auto"/>
            </w:tcBorders>
          </w:tcPr>
          <w:p w14:paraId="07394060" w14:textId="77777777" w:rsidR="00FE4468" w:rsidRPr="00FE4468" w:rsidRDefault="00FE4468" w:rsidP="00FE4468">
            <w:r w:rsidRPr="00FE4468">
              <w:t>Welcomed.</w:t>
            </w:r>
          </w:p>
        </w:tc>
        <w:tc>
          <w:tcPr>
            <w:tcW w:w="2468" w:type="dxa"/>
            <w:tcBorders>
              <w:top w:val="single" w:sz="4" w:space="0" w:color="auto"/>
              <w:left w:val="single" w:sz="4" w:space="0" w:color="auto"/>
              <w:bottom w:val="single" w:sz="4" w:space="0" w:color="auto"/>
              <w:right w:val="single" w:sz="4" w:space="0" w:color="auto"/>
            </w:tcBorders>
          </w:tcPr>
          <w:p w14:paraId="3A67542E" w14:textId="77777777" w:rsidR="00FE4468" w:rsidRPr="00FE4468" w:rsidRDefault="00FE4468" w:rsidP="00FE4468">
            <w:r w:rsidRPr="00FE4468">
              <w:t>No change.</w:t>
            </w:r>
          </w:p>
        </w:tc>
      </w:tr>
      <w:tr w:rsidR="00FE4468" w:rsidRPr="00FE4468" w14:paraId="797BD28D" w14:textId="77777777" w:rsidTr="0095127E">
        <w:tc>
          <w:tcPr>
            <w:tcW w:w="0" w:type="auto"/>
            <w:vMerge/>
            <w:tcBorders>
              <w:left w:val="single" w:sz="4" w:space="0" w:color="auto"/>
              <w:bottom w:val="single" w:sz="4" w:space="0" w:color="auto"/>
              <w:right w:val="single" w:sz="4" w:space="0" w:color="auto"/>
            </w:tcBorders>
            <w:vAlign w:val="center"/>
          </w:tcPr>
          <w:p w14:paraId="2CE3CCB6" w14:textId="77777777" w:rsidR="00FE4468" w:rsidRPr="00FE4468" w:rsidRDefault="00FE4468" w:rsidP="00FE4468">
            <w:pPr>
              <w:rPr>
                <w:b/>
                <w:bCs/>
              </w:rPr>
            </w:pPr>
          </w:p>
        </w:tc>
        <w:tc>
          <w:tcPr>
            <w:tcW w:w="4675" w:type="dxa"/>
            <w:tcBorders>
              <w:top w:val="single" w:sz="4" w:space="0" w:color="auto"/>
              <w:left w:val="single" w:sz="4" w:space="0" w:color="auto"/>
              <w:bottom w:val="single" w:sz="4" w:space="0" w:color="auto"/>
              <w:right w:val="single" w:sz="4" w:space="0" w:color="auto"/>
            </w:tcBorders>
          </w:tcPr>
          <w:p w14:paraId="3A31257A" w14:textId="77777777" w:rsidR="00FE4468" w:rsidRPr="00FE4468" w:rsidRDefault="00FE4468" w:rsidP="00FE4468">
            <w:r w:rsidRPr="00FE4468">
              <w:t>We note that there is a minor typographical error in paragraph 1.2.4, in which reference is made to the annual affordable housing need as dwellings per hectare instead of dwellings per annum.</w:t>
            </w:r>
          </w:p>
        </w:tc>
        <w:tc>
          <w:tcPr>
            <w:tcW w:w="4536" w:type="dxa"/>
            <w:tcBorders>
              <w:top w:val="single" w:sz="4" w:space="0" w:color="auto"/>
              <w:left w:val="single" w:sz="4" w:space="0" w:color="auto"/>
              <w:bottom w:val="single" w:sz="4" w:space="0" w:color="auto"/>
              <w:right w:val="single" w:sz="4" w:space="0" w:color="auto"/>
            </w:tcBorders>
          </w:tcPr>
          <w:p w14:paraId="0A779E7A" w14:textId="77777777" w:rsidR="00FE4468" w:rsidRPr="00FE4468" w:rsidRDefault="00FE4468" w:rsidP="00FE4468">
            <w:r w:rsidRPr="00FE4468">
              <w:t>Agreed.</w:t>
            </w:r>
          </w:p>
        </w:tc>
        <w:tc>
          <w:tcPr>
            <w:tcW w:w="2468" w:type="dxa"/>
            <w:tcBorders>
              <w:top w:val="single" w:sz="4" w:space="0" w:color="auto"/>
              <w:left w:val="single" w:sz="4" w:space="0" w:color="auto"/>
              <w:bottom w:val="single" w:sz="4" w:space="0" w:color="auto"/>
              <w:right w:val="single" w:sz="4" w:space="0" w:color="auto"/>
            </w:tcBorders>
          </w:tcPr>
          <w:p w14:paraId="2A076A0A" w14:textId="77777777" w:rsidR="00FE4468" w:rsidRPr="00FE4468" w:rsidRDefault="00FE4468" w:rsidP="00FE4468">
            <w:r w:rsidRPr="00FE4468">
              <w:t>Wording to be changed from ‘hectare’ to ‘annum’.</w:t>
            </w:r>
          </w:p>
        </w:tc>
      </w:tr>
      <w:tr w:rsidR="00FE4468" w:rsidRPr="00FE4468" w14:paraId="0B344D5C" w14:textId="77777777" w:rsidTr="0095127E">
        <w:tc>
          <w:tcPr>
            <w:tcW w:w="0" w:type="auto"/>
            <w:tcBorders>
              <w:top w:val="single" w:sz="4" w:space="0" w:color="auto"/>
              <w:left w:val="single" w:sz="4" w:space="0" w:color="auto"/>
              <w:bottom w:val="single" w:sz="4" w:space="0" w:color="auto"/>
              <w:right w:val="single" w:sz="4" w:space="0" w:color="auto"/>
            </w:tcBorders>
            <w:vAlign w:val="center"/>
          </w:tcPr>
          <w:p w14:paraId="1E497205" w14:textId="77777777" w:rsidR="00FE4468" w:rsidRPr="00FE4468" w:rsidRDefault="00FE4468" w:rsidP="00FE4468">
            <w:pPr>
              <w:rPr>
                <w:b/>
                <w:bCs/>
              </w:rPr>
            </w:pPr>
            <w:r w:rsidRPr="00FE4468">
              <w:rPr>
                <w:b/>
                <w:bCs/>
              </w:rPr>
              <w:t>Historic England</w:t>
            </w:r>
          </w:p>
        </w:tc>
        <w:tc>
          <w:tcPr>
            <w:tcW w:w="4675" w:type="dxa"/>
            <w:tcBorders>
              <w:top w:val="single" w:sz="4" w:space="0" w:color="auto"/>
              <w:left w:val="single" w:sz="4" w:space="0" w:color="auto"/>
              <w:bottom w:val="single" w:sz="4" w:space="0" w:color="auto"/>
              <w:right w:val="single" w:sz="4" w:space="0" w:color="auto"/>
            </w:tcBorders>
          </w:tcPr>
          <w:p w14:paraId="02A7FAF8" w14:textId="77777777" w:rsidR="00FE4468" w:rsidRPr="00FE4468" w:rsidRDefault="00FE4468" w:rsidP="00FE4468">
            <w:r w:rsidRPr="00FE4468">
              <w:t>No comments to make.</w:t>
            </w:r>
          </w:p>
        </w:tc>
        <w:tc>
          <w:tcPr>
            <w:tcW w:w="4536" w:type="dxa"/>
            <w:tcBorders>
              <w:top w:val="single" w:sz="4" w:space="0" w:color="auto"/>
              <w:left w:val="single" w:sz="4" w:space="0" w:color="auto"/>
              <w:bottom w:val="single" w:sz="4" w:space="0" w:color="auto"/>
              <w:right w:val="single" w:sz="4" w:space="0" w:color="auto"/>
            </w:tcBorders>
          </w:tcPr>
          <w:p w14:paraId="0153A4B6" w14:textId="77777777" w:rsidR="00FE4468" w:rsidRPr="00FE4468" w:rsidRDefault="00FE4468" w:rsidP="00FE4468">
            <w:r w:rsidRPr="00FE4468">
              <w:t>Noted.</w:t>
            </w:r>
          </w:p>
        </w:tc>
        <w:tc>
          <w:tcPr>
            <w:tcW w:w="2468" w:type="dxa"/>
            <w:tcBorders>
              <w:top w:val="single" w:sz="4" w:space="0" w:color="auto"/>
              <w:left w:val="single" w:sz="4" w:space="0" w:color="auto"/>
              <w:bottom w:val="single" w:sz="4" w:space="0" w:color="auto"/>
              <w:right w:val="single" w:sz="4" w:space="0" w:color="auto"/>
            </w:tcBorders>
          </w:tcPr>
          <w:p w14:paraId="00E27878" w14:textId="77777777" w:rsidR="00FE4468" w:rsidRPr="00FE4468" w:rsidRDefault="00FE4468" w:rsidP="00FE4468">
            <w:r w:rsidRPr="00FE4468">
              <w:t>No change.</w:t>
            </w:r>
          </w:p>
        </w:tc>
      </w:tr>
      <w:tr w:rsidR="00FE4468" w:rsidRPr="00FE4468" w14:paraId="331D4609" w14:textId="77777777" w:rsidTr="0095127E">
        <w:tc>
          <w:tcPr>
            <w:tcW w:w="0" w:type="auto"/>
            <w:tcBorders>
              <w:top w:val="single" w:sz="4" w:space="0" w:color="auto"/>
              <w:left w:val="single" w:sz="4" w:space="0" w:color="auto"/>
              <w:bottom w:val="single" w:sz="4" w:space="0" w:color="auto"/>
              <w:right w:val="single" w:sz="4" w:space="0" w:color="auto"/>
            </w:tcBorders>
            <w:vAlign w:val="center"/>
          </w:tcPr>
          <w:p w14:paraId="70888ADB" w14:textId="77777777" w:rsidR="00FE4468" w:rsidRPr="00FE4468" w:rsidRDefault="00FE4468" w:rsidP="00FE4468">
            <w:pPr>
              <w:rPr>
                <w:b/>
                <w:bCs/>
              </w:rPr>
            </w:pPr>
            <w:r w:rsidRPr="00FE4468">
              <w:rPr>
                <w:b/>
                <w:bCs/>
              </w:rPr>
              <w:t xml:space="preserve">Private Individual </w:t>
            </w:r>
          </w:p>
        </w:tc>
        <w:tc>
          <w:tcPr>
            <w:tcW w:w="4675" w:type="dxa"/>
            <w:tcBorders>
              <w:top w:val="single" w:sz="4" w:space="0" w:color="auto"/>
              <w:left w:val="single" w:sz="4" w:space="0" w:color="auto"/>
              <w:bottom w:val="single" w:sz="4" w:space="0" w:color="auto"/>
              <w:right w:val="single" w:sz="4" w:space="0" w:color="auto"/>
            </w:tcBorders>
          </w:tcPr>
          <w:p w14:paraId="4143EE0C" w14:textId="77777777" w:rsidR="00FE4468" w:rsidRPr="00FE4468" w:rsidRDefault="00FE4468" w:rsidP="00FE4468">
            <w:pPr>
              <w:rPr>
                <w:rFonts w:cs="Calibri"/>
              </w:rPr>
            </w:pPr>
            <w:bookmarkStart w:id="3" w:name="_Hlk203550257"/>
            <w:r w:rsidRPr="00FE4468">
              <w:rPr>
                <w:rFonts w:cs="Calibri"/>
              </w:rPr>
              <w:t>Rather than just deleting the preferred list of registered providers the Council should open up/ extend the definition on s106 sites to include Community Led Housing Development and Custom/ Self Build Development Sites.  Once a s106 site has been designated to include affordable housing.  The Council &amp; Developer should:</w:t>
            </w:r>
          </w:p>
          <w:p w14:paraId="66102364" w14:textId="77777777" w:rsidR="00FE4468" w:rsidRPr="00FE4468" w:rsidRDefault="00FE4468" w:rsidP="00FE4468">
            <w:pPr>
              <w:numPr>
                <w:ilvl w:val="0"/>
                <w:numId w:val="14"/>
              </w:numPr>
              <w:rPr>
                <w:rFonts w:cs="Calibri"/>
              </w:rPr>
            </w:pPr>
            <w:r w:rsidRPr="00FE4468">
              <w:rPr>
                <w:rFonts w:cs="Calibri"/>
              </w:rPr>
              <w:t xml:space="preserve">*Months 0 – 6 </w:t>
            </w:r>
            <w:proofErr w:type="gramStart"/>
            <w:r w:rsidRPr="00FE4468">
              <w:rPr>
                <w:rFonts w:cs="Calibri"/>
              </w:rPr>
              <w:t>months :</w:t>
            </w:r>
            <w:proofErr w:type="gramEnd"/>
            <w:r w:rsidRPr="00FE4468">
              <w:rPr>
                <w:rFonts w:cs="Calibri"/>
              </w:rPr>
              <w:t xml:space="preserve"> Give custom/</w:t>
            </w:r>
            <w:proofErr w:type="spellStart"/>
            <w:r w:rsidRPr="00FE4468">
              <w:rPr>
                <w:rFonts w:cs="Calibri"/>
              </w:rPr>
              <w:t>self builders</w:t>
            </w:r>
            <w:proofErr w:type="spellEnd"/>
            <w:r w:rsidRPr="00FE4468">
              <w:rPr>
                <w:rFonts w:cs="Calibri"/>
              </w:rPr>
              <w:t xml:space="preserve"> on the Councils’ list up to 6mths to submit an application to acquire a piece of the land for their build</w:t>
            </w:r>
          </w:p>
          <w:p w14:paraId="142A95C9" w14:textId="77777777" w:rsidR="00FE4468" w:rsidRPr="00FE4468" w:rsidRDefault="00FE4468" w:rsidP="00FE4468">
            <w:pPr>
              <w:numPr>
                <w:ilvl w:val="0"/>
                <w:numId w:val="14"/>
              </w:numPr>
              <w:rPr>
                <w:rFonts w:cs="Calibri"/>
              </w:rPr>
            </w:pPr>
            <w:r w:rsidRPr="00FE4468">
              <w:rPr>
                <w:rFonts w:cs="Calibri"/>
              </w:rPr>
              <w:t xml:space="preserve">*Months 0 – 12 months: Give Community Led Developments up to 12 months to </w:t>
            </w:r>
            <w:proofErr w:type="gramStart"/>
            <w:r w:rsidRPr="00FE4468">
              <w:rPr>
                <w:rFonts w:cs="Calibri"/>
              </w:rPr>
              <w:t>submit an application</w:t>
            </w:r>
            <w:proofErr w:type="gramEnd"/>
            <w:r w:rsidRPr="00FE4468">
              <w:rPr>
                <w:rFonts w:cs="Calibri"/>
              </w:rPr>
              <w:t xml:space="preserve"> to acquire a piece of the land for their build</w:t>
            </w:r>
          </w:p>
          <w:p w14:paraId="40C10D6C" w14:textId="77777777" w:rsidR="00FE4468" w:rsidRPr="00FE4468" w:rsidRDefault="00FE4468" w:rsidP="00FE4468">
            <w:pPr>
              <w:numPr>
                <w:ilvl w:val="0"/>
                <w:numId w:val="14"/>
              </w:numPr>
              <w:rPr>
                <w:rFonts w:cs="Calibri"/>
              </w:rPr>
            </w:pPr>
            <w:r w:rsidRPr="00FE4468">
              <w:rPr>
                <w:rFonts w:cs="Calibri"/>
              </w:rPr>
              <w:t>Months 12 onwards:  Give Providers the option to progress the provision of ‘Affordable Housing’</w:t>
            </w:r>
          </w:p>
          <w:p w14:paraId="492CB410" w14:textId="77777777" w:rsidR="00FE4468" w:rsidRPr="00FE4468" w:rsidRDefault="00FE4468" w:rsidP="00FE4468">
            <w:pPr>
              <w:rPr>
                <w:rFonts w:cs="Calibri"/>
              </w:rPr>
            </w:pPr>
          </w:p>
          <w:p w14:paraId="53049CC2" w14:textId="77777777" w:rsidR="00FE4468" w:rsidRPr="00FE4468" w:rsidRDefault="00FE4468" w:rsidP="00FE4468">
            <w:pPr>
              <w:rPr>
                <w:rFonts w:cs="Calibri"/>
              </w:rPr>
            </w:pPr>
            <w:bookmarkStart w:id="4" w:name="_Hlk203550287"/>
            <w:bookmarkEnd w:id="3"/>
            <w:r w:rsidRPr="00FE4468">
              <w:rPr>
                <w:rFonts w:cs="Calibri"/>
              </w:rPr>
              <w:t xml:space="preserve">If no application of interest has been received from [1] &amp; [2] within 3 months of </w:t>
            </w:r>
            <w:proofErr w:type="gramStart"/>
            <w:r w:rsidRPr="00FE4468">
              <w:rPr>
                <w:rFonts w:cs="Calibri"/>
              </w:rPr>
              <w:t>notification</w:t>
            </w:r>
            <w:proofErr w:type="gramEnd"/>
            <w:r w:rsidRPr="00FE4468">
              <w:rPr>
                <w:rFonts w:cs="Calibri"/>
              </w:rPr>
              <w:t xml:space="preserve"> then this option should be withdrawn &amp; the option for ‘Affordable Housing in the traditional sense [i.e.3] bought forward.  Developers will not </w:t>
            </w:r>
            <w:r w:rsidRPr="00FE4468">
              <w:rPr>
                <w:rFonts w:cs="Calibri"/>
              </w:rPr>
              <w:lastRenderedPageBreak/>
              <w:t>financially lose out under [1] &amp; [2] as they [with the Council] will agree the cost of land to groups 1 &amp; 2 &amp; ensure the design of these properties are in keeping with the Developments Design Code.   Rather, this will mitigate Developer’s financial risk/exposure, whilst fulfilling a Local Housing Need.</w:t>
            </w:r>
            <w:bookmarkEnd w:id="4"/>
          </w:p>
        </w:tc>
        <w:tc>
          <w:tcPr>
            <w:tcW w:w="4536" w:type="dxa"/>
            <w:tcBorders>
              <w:top w:val="single" w:sz="4" w:space="0" w:color="auto"/>
              <w:left w:val="single" w:sz="4" w:space="0" w:color="auto"/>
              <w:bottom w:val="single" w:sz="4" w:space="0" w:color="auto"/>
              <w:right w:val="single" w:sz="4" w:space="0" w:color="auto"/>
            </w:tcBorders>
          </w:tcPr>
          <w:p w14:paraId="72FE9B3C" w14:textId="77777777" w:rsidR="00FE4468" w:rsidRPr="00FE4468" w:rsidRDefault="00FE4468" w:rsidP="00FE4468">
            <w:r w:rsidRPr="00FE4468">
              <w:lastRenderedPageBreak/>
              <w:t>The National Planning Policy Framework (December 2024) includes as Annex 2 a glossary. This glossary sets out what constitutes affordable housing. This definition does not identify either custom/ self-build development sites as a form of affordable housing and consequently it is not considered that this group can be given priority on sites acquired for affordable housing.</w:t>
            </w:r>
          </w:p>
          <w:p w14:paraId="2C96480E" w14:textId="77777777" w:rsidR="00FE4468" w:rsidRPr="00FE4468" w:rsidRDefault="00FE4468" w:rsidP="00FE4468">
            <w:r w:rsidRPr="00FE4468">
              <w:t xml:space="preserve">The NPPF refers to community led housing in relation to exception sites. Runnymede doesn’t have any such sites, and so it is considered that affordable housing sites in the borough should be retained for those most in need of affordable housing. </w:t>
            </w:r>
          </w:p>
          <w:p w14:paraId="1C571349" w14:textId="77777777" w:rsidR="00FE4468" w:rsidRPr="00FE4468" w:rsidRDefault="00FE4468" w:rsidP="00FE4468">
            <w:r w:rsidRPr="00FE4468">
              <w:t xml:space="preserve">In addition, the approach set out by the respondent would amount to the introduction of new policy, as there are no such provisions made within the adopted Runnymede 2030 Local Plan. Consequently, changes such as the ones proposed, would need to be made as part of the update to the Local Plan, and not within a Supplementary Planning Document. </w:t>
            </w:r>
          </w:p>
          <w:p w14:paraId="538B94F6" w14:textId="77777777" w:rsidR="00FE4468" w:rsidRPr="00FE4468" w:rsidRDefault="00FE4468" w:rsidP="00FE4468"/>
          <w:p w14:paraId="2CDE791C" w14:textId="77777777" w:rsidR="00FE4468" w:rsidRPr="00FE4468" w:rsidRDefault="00FE4468" w:rsidP="00FE4468"/>
          <w:p w14:paraId="6DD8F58B" w14:textId="77777777" w:rsidR="00FE4468" w:rsidRPr="00FE4468" w:rsidRDefault="00FE4468" w:rsidP="00FE4468"/>
        </w:tc>
        <w:tc>
          <w:tcPr>
            <w:tcW w:w="2468" w:type="dxa"/>
            <w:tcBorders>
              <w:top w:val="single" w:sz="4" w:space="0" w:color="auto"/>
              <w:left w:val="single" w:sz="4" w:space="0" w:color="auto"/>
              <w:bottom w:val="single" w:sz="4" w:space="0" w:color="auto"/>
              <w:right w:val="single" w:sz="4" w:space="0" w:color="auto"/>
            </w:tcBorders>
          </w:tcPr>
          <w:p w14:paraId="3750D58D" w14:textId="77777777" w:rsidR="00FE4468" w:rsidRPr="00FE4468" w:rsidRDefault="00FE4468" w:rsidP="00FE4468">
            <w:r w:rsidRPr="00FE4468">
              <w:lastRenderedPageBreak/>
              <w:t>No change.</w:t>
            </w:r>
          </w:p>
        </w:tc>
      </w:tr>
      <w:tr w:rsidR="00FE4468" w:rsidRPr="00FE4468" w14:paraId="5D50F0A9" w14:textId="77777777" w:rsidTr="0095127E">
        <w:tc>
          <w:tcPr>
            <w:tcW w:w="0" w:type="auto"/>
            <w:tcBorders>
              <w:top w:val="single" w:sz="4" w:space="0" w:color="auto"/>
              <w:left w:val="single" w:sz="4" w:space="0" w:color="auto"/>
              <w:bottom w:val="single" w:sz="4" w:space="0" w:color="auto"/>
              <w:right w:val="single" w:sz="4" w:space="0" w:color="auto"/>
            </w:tcBorders>
            <w:vAlign w:val="center"/>
          </w:tcPr>
          <w:p w14:paraId="05148983" w14:textId="77777777" w:rsidR="00FE4468" w:rsidRPr="00FE4468" w:rsidRDefault="00FE4468" w:rsidP="00FE4468">
            <w:pPr>
              <w:rPr>
                <w:b/>
                <w:bCs/>
              </w:rPr>
            </w:pPr>
            <w:r w:rsidRPr="00FE4468">
              <w:rPr>
                <w:b/>
                <w:bCs/>
              </w:rPr>
              <w:t>Bluestone Planning</w:t>
            </w:r>
          </w:p>
        </w:tc>
        <w:tc>
          <w:tcPr>
            <w:tcW w:w="4675" w:type="dxa"/>
            <w:tcBorders>
              <w:top w:val="single" w:sz="4" w:space="0" w:color="auto"/>
              <w:left w:val="single" w:sz="4" w:space="0" w:color="auto"/>
              <w:bottom w:val="single" w:sz="4" w:space="0" w:color="auto"/>
              <w:right w:val="single" w:sz="4" w:space="0" w:color="auto"/>
            </w:tcBorders>
          </w:tcPr>
          <w:p w14:paraId="7FEC0994" w14:textId="77777777" w:rsidR="00FE4468" w:rsidRPr="00FE4468" w:rsidRDefault="00FE4468" w:rsidP="00FE4468">
            <w:r w:rsidRPr="00FE4468">
              <w:t>Para 2.6.2 states: “</w:t>
            </w:r>
            <w:r w:rsidRPr="00FE4468">
              <w:rPr>
                <w:i/>
                <w:iCs/>
              </w:rPr>
              <w:t>The credit does not apply when a building has been abandoned or where a building has been made vacant for the sole purpose of re-development. Certain evidence will be required from applicants to demonstrate that the form and length of the marketing campaign has been appropriate. Evidence of a good marketing campaign should include</w:t>
            </w:r>
            <w:proofErr w:type="gramStart"/>
            <w:r w:rsidRPr="00FE4468">
              <w:rPr>
                <w:i/>
                <w:iCs/>
              </w:rPr>
              <w:t>…..</w:t>
            </w:r>
            <w:proofErr w:type="gramEnd"/>
            <w:r w:rsidRPr="00FE4468">
              <w:rPr>
                <w:i/>
                <w:iCs/>
              </w:rPr>
              <w:t>”</w:t>
            </w:r>
            <w:r w:rsidRPr="00FE4468">
              <w:t xml:space="preserve"> and it then goes on to list marketing requirements.</w:t>
            </w:r>
          </w:p>
          <w:p w14:paraId="1D386C4D" w14:textId="77777777" w:rsidR="00FE4468" w:rsidRPr="00FE4468" w:rsidRDefault="00FE4468" w:rsidP="00FE4468">
            <w:r w:rsidRPr="00FE4468">
              <w:t>This is in direct contravention of the Planning Practice Guidance and the NPPF para. 65.</w:t>
            </w:r>
          </w:p>
        </w:tc>
        <w:tc>
          <w:tcPr>
            <w:tcW w:w="4536" w:type="dxa"/>
            <w:tcBorders>
              <w:top w:val="single" w:sz="4" w:space="0" w:color="auto"/>
              <w:left w:val="single" w:sz="4" w:space="0" w:color="auto"/>
              <w:bottom w:val="single" w:sz="4" w:space="0" w:color="auto"/>
              <w:right w:val="single" w:sz="4" w:space="0" w:color="auto"/>
            </w:tcBorders>
          </w:tcPr>
          <w:p w14:paraId="189F916E" w14:textId="77777777" w:rsidR="00FE4468" w:rsidRPr="00FE4468" w:rsidRDefault="00FE4468" w:rsidP="00FE4468">
            <w:r w:rsidRPr="00FE4468">
              <w:t xml:space="preserve">Policy IE3: Catering for Modern Business Needs of the adopted Runnymede 2030 Local Plan requires that before uses such as incubator uses, small warehousing units and small serviced office accommodation can be lost in the borough that comprehensive marketing must be carried out for ‘at least one year’. </w:t>
            </w:r>
          </w:p>
          <w:p w14:paraId="3C9AD911" w14:textId="77777777" w:rsidR="00FE4468" w:rsidRPr="00FE4468" w:rsidRDefault="00FE4468" w:rsidP="00FE4468">
            <w:r w:rsidRPr="00FE4468">
              <w:t xml:space="preserve">The requirement to carry out marketing for abandoned or vacant sites was included in the 2022 version of the SPD to bring the two into alignment, and </w:t>
            </w:r>
            <w:proofErr w:type="gramStart"/>
            <w:r w:rsidRPr="00FE4468">
              <w:t>so as to</w:t>
            </w:r>
            <w:proofErr w:type="gramEnd"/>
            <w:r w:rsidRPr="00FE4468">
              <w:t xml:space="preserve"> ensure that buildings were not deliberately made vacant for the sole purpose of redevelopment. </w:t>
            </w:r>
          </w:p>
          <w:p w14:paraId="1B862C2E" w14:textId="77777777" w:rsidR="00FE4468" w:rsidRPr="00FE4468" w:rsidRDefault="00FE4468" w:rsidP="00FE4468">
            <w:r w:rsidRPr="00FE4468">
              <w:t>However, given the current policy climate and the emphasis to support brownfield redevelopment, it is considered that the provisions for marketing of such sites should be removed from the Affordable Housing SPD and that instead the Council should decide each application on a case-by-case basis relying on the advice set out within the Planning Obligations PPG (particularly para. 28).</w:t>
            </w:r>
          </w:p>
        </w:tc>
        <w:tc>
          <w:tcPr>
            <w:tcW w:w="2468" w:type="dxa"/>
            <w:tcBorders>
              <w:top w:val="single" w:sz="4" w:space="0" w:color="auto"/>
              <w:left w:val="single" w:sz="4" w:space="0" w:color="auto"/>
              <w:bottom w:val="single" w:sz="4" w:space="0" w:color="auto"/>
              <w:right w:val="single" w:sz="4" w:space="0" w:color="auto"/>
            </w:tcBorders>
          </w:tcPr>
          <w:p w14:paraId="0559B3BC" w14:textId="77777777" w:rsidR="00FE4468" w:rsidRPr="00FE4468" w:rsidRDefault="00FE4468" w:rsidP="00FE4468">
            <w:r w:rsidRPr="00FE4468">
              <w:t>Para. 2.6.2 it is proposed to remove the requirement to undertake marketing for sites eligible for Vacant Building Credit, and the subsequent details of what is needed to ensure a comprehensive marketing campaign will also be removed. The reference for the need for this marketing to be undertaken will also be removed from para. 2.6.3.</w:t>
            </w:r>
          </w:p>
        </w:tc>
      </w:tr>
      <w:tr w:rsidR="00FE4468" w:rsidRPr="00FE4468" w14:paraId="200981F6" w14:textId="77777777" w:rsidTr="0095127E">
        <w:tc>
          <w:tcPr>
            <w:tcW w:w="0" w:type="auto"/>
            <w:tcBorders>
              <w:top w:val="single" w:sz="4" w:space="0" w:color="auto"/>
              <w:left w:val="single" w:sz="4" w:space="0" w:color="auto"/>
              <w:bottom w:val="single" w:sz="4" w:space="0" w:color="auto"/>
              <w:right w:val="single" w:sz="4" w:space="0" w:color="auto"/>
            </w:tcBorders>
            <w:vAlign w:val="center"/>
          </w:tcPr>
          <w:p w14:paraId="052D7A89" w14:textId="77777777" w:rsidR="00FE4468" w:rsidRPr="00FE4468" w:rsidRDefault="00FE4468" w:rsidP="00FE4468">
            <w:pPr>
              <w:rPr>
                <w:b/>
                <w:bCs/>
              </w:rPr>
            </w:pPr>
            <w:r w:rsidRPr="00FE4468">
              <w:rPr>
                <w:b/>
                <w:bCs/>
              </w:rPr>
              <w:t>National Highways</w:t>
            </w:r>
          </w:p>
        </w:tc>
        <w:tc>
          <w:tcPr>
            <w:tcW w:w="4675" w:type="dxa"/>
            <w:tcBorders>
              <w:top w:val="single" w:sz="4" w:space="0" w:color="auto"/>
              <w:left w:val="single" w:sz="4" w:space="0" w:color="auto"/>
              <w:bottom w:val="single" w:sz="4" w:space="0" w:color="auto"/>
              <w:right w:val="single" w:sz="4" w:space="0" w:color="auto"/>
            </w:tcBorders>
          </w:tcPr>
          <w:p w14:paraId="3CC285E7" w14:textId="77777777" w:rsidR="00FE4468" w:rsidRPr="00FE4468" w:rsidRDefault="00FE4468" w:rsidP="00FE4468">
            <w:r w:rsidRPr="00FE4468">
              <w:t xml:space="preserve">Following a review of the Affordable Housing SPD, we are satisfied that this consultation does not directly impact National Highways or our network. However, we look forward to being </w:t>
            </w:r>
            <w:r w:rsidRPr="00FE4468">
              <w:lastRenderedPageBreak/>
              <w:t>consulted on any planning applications for housing schemes that have the potential to impact the safety and operation of the SRN in the future.</w:t>
            </w:r>
          </w:p>
        </w:tc>
        <w:tc>
          <w:tcPr>
            <w:tcW w:w="4536" w:type="dxa"/>
            <w:tcBorders>
              <w:top w:val="single" w:sz="4" w:space="0" w:color="auto"/>
              <w:left w:val="single" w:sz="4" w:space="0" w:color="auto"/>
              <w:bottom w:val="single" w:sz="4" w:space="0" w:color="auto"/>
              <w:right w:val="single" w:sz="4" w:space="0" w:color="auto"/>
            </w:tcBorders>
          </w:tcPr>
          <w:p w14:paraId="0D97C83C" w14:textId="77777777" w:rsidR="00FE4468" w:rsidRPr="00FE4468" w:rsidRDefault="00FE4468" w:rsidP="00FE4468">
            <w:r w:rsidRPr="00FE4468">
              <w:lastRenderedPageBreak/>
              <w:t>Noted.</w:t>
            </w:r>
          </w:p>
        </w:tc>
        <w:tc>
          <w:tcPr>
            <w:tcW w:w="2468" w:type="dxa"/>
            <w:tcBorders>
              <w:top w:val="single" w:sz="4" w:space="0" w:color="auto"/>
              <w:left w:val="single" w:sz="4" w:space="0" w:color="auto"/>
              <w:bottom w:val="single" w:sz="4" w:space="0" w:color="auto"/>
              <w:right w:val="single" w:sz="4" w:space="0" w:color="auto"/>
            </w:tcBorders>
          </w:tcPr>
          <w:p w14:paraId="12E96D0F" w14:textId="77777777" w:rsidR="00FE4468" w:rsidRPr="00FE4468" w:rsidRDefault="00FE4468" w:rsidP="00FE4468">
            <w:r w:rsidRPr="00FE4468">
              <w:t>No change.</w:t>
            </w:r>
          </w:p>
        </w:tc>
      </w:tr>
      <w:tr w:rsidR="00FE4468" w:rsidRPr="00FE4468" w14:paraId="33E9C8DC" w14:textId="77777777" w:rsidTr="0095127E">
        <w:tc>
          <w:tcPr>
            <w:tcW w:w="0" w:type="auto"/>
            <w:tcBorders>
              <w:top w:val="single" w:sz="4" w:space="0" w:color="auto"/>
              <w:left w:val="single" w:sz="4" w:space="0" w:color="auto"/>
              <w:bottom w:val="single" w:sz="4" w:space="0" w:color="auto"/>
              <w:right w:val="single" w:sz="4" w:space="0" w:color="auto"/>
            </w:tcBorders>
            <w:vAlign w:val="center"/>
          </w:tcPr>
          <w:p w14:paraId="27CB85F9" w14:textId="77777777" w:rsidR="00FE4468" w:rsidRPr="00FE4468" w:rsidRDefault="00FE4468" w:rsidP="00FE4468">
            <w:pPr>
              <w:rPr>
                <w:b/>
                <w:bCs/>
              </w:rPr>
            </w:pPr>
            <w:r w:rsidRPr="00FE4468">
              <w:rPr>
                <w:b/>
                <w:bCs/>
              </w:rPr>
              <w:t>Natural England</w:t>
            </w:r>
          </w:p>
        </w:tc>
        <w:tc>
          <w:tcPr>
            <w:tcW w:w="4675" w:type="dxa"/>
            <w:tcBorders>
              <w:top w:val="single" w:sz="4" w:space="0" w:color="auto"/>
              <w:left w:val="single" w:sz="4" w:space="0" w:color="auto"/>
              <w:bottom w:val="single" w:sz="4" w:space="0" w:color="auto"/>
              <w:right w:val="single" w:sz="4" w:space="0" w:color="auto"/>
            </w:tcBorders>
          </w:tcPr>
          <w:p w14:paraId="45DF5F7F" w14:textId="77777777" w:rsidR="00FE4468" w:rsidRPr="00FE4468" w:rsidRDefault="00FE4468" w:rsidP="00FE4468">
            <w:r w:rsidRPr="00FE4468">
              <w:t xml:space="preserve">Natural England does not consider that the Updated Affordable Housing SPD poses any likely risk or opportunity in relation to our statutory purpose and so does not wish to comment further on this consultation.  </w:t>
            </w:r>
          </w:p>
        </w:tc>
        <w:tc>
          <w:tcPr>
            <w:tcW w:w="4536" w:type="dxa"/>
            <w:tcBorders>
              <w:top w:val="single" w:sz="4" w:space="0" w:color="auto"/>
              <w:left w:val="single" w:sz="4" w:space="0" w:color="auto"/>
              <w:bottom w:val="single" w:sz="4" w:space="0" w:color="auto"/>
              <w:right w:val="single" w:sz="4" w:space="0" w:color="auto"/>
            </w:tcBorders>
          </w:tcPr>
          <w:p w14:paraId="255F7443" w14:textId="77777777" w:rsidR="00FE4468" w:rsidRPr="00FE4468" w:rsidRDefault="00FE4468" w:rsidP="00FE4468">
            <w:r w:rsidRPr="00FE4468">
              <w:t>Noted.</w:t>
            </w:r>
          </w:p>
        </w:tc>
        <w:tc>
          <w:tcPr>
            <w:tcW w:w="2468" w:type="dxa"/>
            <w:tcBorders>
              <w:top w:val="single" w:sz="4" w:space="0" w:color="auto"/>
              <w:left w:val="single" w:sz="4" w:space="0" w:color="auto"/>
              <w:bottom w:val="single" w:sz="4" w:space="0" w:color="auto"/>
              <w:right w:val="single" w:sz="4" w:space="0" w:color="auto"/>
            </w:tcBorders>
          </w:tcPr>
          <w:p w14:paraId="59FC021C" w14:textId="77777777" w:rsidR="00FE4468" w:rsidRPr="00FE4468" w:rsidRDefault="00FE4468" w:rsidP="00FE4468">
            <w:r w:rsidRPr="00FE4468">
              <w:t>No change.</w:t>
            </w:r>
          </w:p>
        </w:tc>
      </w:tr>
      <w:tr w:rsidR="00FE4468" w:rsidRPr="00FE4468" w14:paraId="24F7F0A1" w14:textId="77777777" w:rsidTr="0095127E">
        <w:tc>
          <w:tcPr>
            <w:tcW w:w="0" w:type="auto"/>
            <w:tcBorders>
              <w:top w:val="single" w:sz="4" w:space="0" w:color="auto"/>
              <w:left w:val="single" w:sz="4" w:space="0" w:color="auto"/>
              <w:bottom w:val="single" w:sz="4" w:space="0" w:color="auto"/>
              <w:right w:val="single" w:sz="4" w:space="0" w:color="auto"/>
            </w:tcBorders>
            <w:vAlign w:val="center"/>
          </w:tcPr>
          <w:p w14:paraId="2ACB6DD9" w14:textId="77777777" w:rsidR="00FE4468" w:rsidRPr="00FE4468" w:rsidRDefault="00FE4468" w:rsidP="00FE4468">
            <w:pPr>
              <w:rPr>
                <w:b/>
                <w:bCs/>
              </w:rPr>
            </w:pPr>
            <w:r w:rsidRPr="00FE4468">
              <w:rPr>
                <w:b/>
                <w:bCs/>
              </w:rPr>
              <w:t xml:space="preserve">The Planning Bureau Limited on behalf of McCarthy Stone and Churchill Living </w:t>
            </w:r>
          </w:p>
        </w:tc>
        <w:tc>
          <w:tcPr>
            <w:tcW w:w="4675" w:type="dxa"/>
            <w:tcBorders>
              <w:top w:val="single" w:sz="4" w:space="0" w:color="auto"/>
              <w:left w:val="single" w:sz="4" w:space="0" w:color="auto"/>
              <w:bottom w:val="single" w:sz="4" w:space="0" w:color="auto"/>
              <w:right w:val="single" w:sz="4" w:space="0" w:color="auto"/>
            </w:tcBorders>
          </w:tcPr>
          <w:p w14:paraId="5941F413" w14:textId="77777777" w:rsidR="00FE4468" w:rsidRPr="00FE4468" w:rsidRDefault="00FE4468" w:rsidP="00FE4468">
            <w:r w:rsidRPr="00FE4468">
              <w:t>Paras. 3.1.12 &amp; 14 We note that the council is seeking evidence from comparable development land sales and expect confirmation of the price paid for the property / land or the price expected to be paid together with any contractual terms or sale agreements or options agreements including overage provisions. Para 3.1.14 then confirms that the council would expect a ‘full open book viability assessment’. It is important to note that the PPG clearly states that viability is not usually specific to individual developers. The draft SPD is suggesting a developer specific approach which is not appropriate and not in line with the PPG Viability requirements.</w:t>
            </w:r>
          </w:p>
          <w:p w14:paraId="523D595D" w14:textId="77777777" w:rsidR="00FE4468" w:rsidRPr="00FE4468" w:rsidRDefault="00FE4468" w:rsidP="00FE4468">
            <w:r w:rsidRPr="00FE4468">
              <w:t xml:space="preserve">Whilst the PPG states that an LPA may ask for detail of price paid for land, there is no obligation on an applicant to disclose that information. This is important given that price paid data is often influenced by a range of factors, some of which may be developer specific. The PPG is clear that viability assessment is not usually specific to a developer (para 021 Reference ID: 10-021-20190509). The PPG is the ‘authoritative requirement’ and simply describes a residual </w:t>
            </w:r>
            <w:r w:rsidRPr="00FE4468">
              <w:lastRenderedPageBreak/>
              <w:t>approach, the PPG fails to set out what should be done with price paid information if available.</w:t>
            </w:r>
          </w:p>
          <w:p w14:paraId="169A242C" w14:textId="77777777" w:rsidR="00FE4468" w:rsidRPr="00FE4468" w:rsidRDefault="00FE4468" w:rsidP="00FE4468">
            <w:r w:rsidRPr="00FE4468">
              <w:t>Paragraphs 3 .1.12 and para 3.1.14 are therefore contrary to national policy in their request that developers should confirm the price paid for land and should be deleted.</w:t>
            </w:r>
          </w:p>
        </w:tc>
        <w:tc>
          <w:tcPr>
            <w:tcW w:w="4536" w:type="dxa"/>
            <w:tcBorders>
              <w:top w:val="single" w:sz="4" w:space="0" w:color="auto"/>
              <w:left w:val="single" w:sz="4" w:space="0" w:color="auto"/>
              <w:bottom w:val="single" w:sz="4" w:space="0" w:color="auto"/>
              <w:right w:val="single" w:sz="4" w:space="0" w:color="auto"/>
            </w:tcBorders>
          </w:tcPr>
          <w:p w14:paraId="326A683A" w14:textId="526404BE" w:rsidR="00FE4468" w:rsidRPr="00FE4468" w:rsidRDefault="00FE4468" w:rsidP="00FE4468">
            <w:r w:rsidRPr="00FE4468">
              <w:lastRenderedPageBreak/>
              <w:t>Disagree. The PPG (Viability para.16)</w:t>
            </w:r>
            <w:r>
              <w:t xml:space="preserve"> sets out</w:t>
            </w:r>
            <w:r w:rsidRPr="00FE4468">
              <w:t xml:space="preserve"> that “Local authorities can request data on the price paid for land (or the price expected to be paid through an option or promotion agreement).” Para. 21 of the PPG specifically states that “viability assessments should be prepared on the basis that they will be publicly available other than in exceptional circumstances …”</w:t>
            </w:r>
            <w:r w:rsidRPr="00FE4468">
              <w:rPr>
                <w:rFonts w:ascii="Arial" w:eastAsia="Aptos" w:hAnsi="Arial" w:cs="Arial"/>
                <w:color w:val="0B0C0C"/>
                <w:sz w:val="29"/>
                <w:szCs w:val="29"/>
                <w:shd w:val="clear" w:color="auto" w:fill="FFFFFF"/>
              </w:rPr>
              <w:t xml:space="preserve"> </w:t>
            </w:r>
            <w:r w:rsidRPr="00FE4468">
              <w:t>The Council is therefore of the view that what is being suggested within these two paragraphs is in line with the wording set out within the PPG.</w:t>
            </w:r>
          </w:p>
          <w:p w14:paraId="372D5469" w14:textId="77777777" w:rsidR="00FE4468" w:rsidRPr="00FE4468" w:rsidRDefault="00FE4468" w:rsidP="00FE4468"/>
        </w:tc>
        <w:tc>
          <w:tcPr>
            <w:tcW w:w="2468" w:type="dxa"/>
            <w:tcBorders>
              <w:top w:val="single" w:sz="4" w:space="0" w:color="auto"/>
              <w:left w:val="single" w:sz="4" w:space="0" w:color="auto"/>
              <w:bottom w:val="single" w:sz="4" w:space="0" w:color="auto"/>
              <w:right w:val="single" w:sz="4" w:space="0" w:color="auto"/>
            </w:tcBorders>
          </w:tcPr>
          <w:p w14:paraId="610C03BA" w14:textId="77777777" w:rsidR="00FE4468" w:rsidRPr="00FE4468" w:rsidRDefault="00FE4468" w:rsidP="00FE4468">
            <w:r w:rsidRPr="00FE4468">
              <w:t>No change.</w:t>
            </w:r>
          </w:p>
        </w:tc>
      </w:tr>
      <w:tr w:rsidR="00FE4468" w:rsidRPr="00FE4468" w14:paraId="50C374EA" w14:textId="77777777" w:rsidTr="0095127E">
        <w:tc>
          <w:tcPr>
            <w:tcW w:w="0" w:type="auto"/>
            <w:tcBorders>
              <w:top w:val="single" w:sz="4" w:space="0" w:color="auto"/>
              <w:left w:val="single" w:sz="4" w:space="0" w:color="auto"/>
              <w:bottom w:val="single" w:sz="4" w:space="0" w:color="auto"/>
              <w:right w:val="single" w:sz="4" w:space="0" w:color="auto"/>
            </w:tcBorders>
            <w:vAlign w:val="center"/>
          </w:tcPr>
          <w:p w14:paraId="56D72635" w14:textId="77777777" w:rsidR="00FE4468" w:rsidRPr="00FE4468" w:rsidRDefault="00FE4468" w:rsidP="00FE4468">
            <w:pPr>
              <w:rPr>
                <w:b/>
                <w:bCs/>
              </w:rPr>
            </w:pPr>
          </w:p>
        </w:tc>
        <w:tc>
          <w:tcPr>
            <w:tcW w:w="4675" w:type="dxa"/>
            <w:tcBorders>
              <w:top w:val="single" w:sz="4" w:space="0" w:color="auto"/>
              <w:left w:val="single" w:sz="4" w:space="0" w:color="auto"/>
              <w:bottom w:val="single" w:sz="4" w:space="0" w:color="auto"/>
              <w:right w:val="single" w:sz="4" w:space="0" w:color="auto"/>
            </w:tcBorders>
          </w:tcPr>
          <w:p w14:paraId="16E1914E" w14:textId="77777777" w:rsidR="00FE4468" w:rsidRPr="00FE4468" w:rsidRDefault="00FE4468" w:rsidP="00FE4468">
            <w:r w:rsidRPr="00FE4468">
              <w:t>Paras. 3.1.21/22 We note that para 3.1.21 and 3.1.22 seeks to introduce an affordable housing review mechanism (or late-state viability review). We also note that ‘Runnymede 2030’, the adopted Local Plan does not contain such a requirement.</w:t>
            </w:r>
          </w:p>
          <w:p w14:paraId="66900CD7" w14:textId="77777777" w:rsidR="00FE4468" w:rsidRPr="00FE4468" w:rsidRDefault="00FE4468" w:rsidP="00FE4468">
            <w:r w:rsidRPr="00FE4468">
              <w:t>A review mechanism and any detail that will form part of it also needs to be considered fully and assessed through the Local Plan process. This should include the consideration of variables such as trigger points, costs, land values, how surplus is split and other definitions.</w:t>
            </w:r>
          </w:p>
        </w:tc>
        <w:tc>
          <w:tcPr>
            <w:tcW w:w="4536" w:type="dxa"/>
            <w:tcBorders>
              <w:top w:val="single" w:sz="4" w:space="0" w:color="auto"/>
              <w:left w:val="single" w:sz="4" w:space="0" w:color="auto"/>
              <w:bottom w:val="single" w:sz="4" w:space="0" w:color="auto"/>
              <w:right w:val="single" w:sz="4" w:space="0" w:color="auto"/>
            </w:tcBorders>
          </w:tcPr>
          <w:p w14:paraId="3F497417" w14:textId="308B706E" w:rsidR="00FE4468" w:rsidRPr="00FE4468" w:rsidRDefault="00FE4468" w:rsidP="00FE4468">
            <w:pPr>
              <w:rPr>
                <w:highlight w:val="yellow"/>
              </w:rPr>
            </w:pPr>
            <w:r w:rsidRPr="00FE4468">
              <w:t xml:space="preserve">It is considered that since the Local Plan does not say anything about ‘late-stage </w:t>
            </w:r>
            <w:proofErr w:type="gramStart"/>
            <w:r w:rsidRPr="00FE4468">
              <w:t>reviews’</w:t>
            </w:r>
            <w:proofErr w:type="gramEnd"/>
            <w:r w:rsidRPr="00FE4468">
              <w:t xml:space="preserve"> and the PPG on Viability specifically states in para. 009 that “Plans should set out circumstances where review mechanisms may be appropriate” that references to these late-stage reviews should be removed from the </w:t>
            </w:r>
            <w:r w:rsidR="00931E54">
              <w:t>SPD</w:t>
            </w:r>
            <w:r w:rsidRPr="00FE4468">
              <w:t>.</w:t>
            </w:r>
          </w:p>
        </w:tc>
        <w:tc>
          <w:tcPr>
            <w:tcW w:w="2468" w:type="dxa"/>
            <w:tcBorders>
              <w:top w:val="single" w:sz="4" w:space="0" w:color="auto"/>
              <w:left w:val="single" w:sz="4" w:space="0" w:color="auto"/>
              <w:bottom w:val="single" w:sz="4" w:space="0" w:color="auto"/>
              <w:right w:val="single" w:sz="4" w:space="0" w:color="auto"/>
            </w:tcBorders>
          </w:tcPr>
          <w:p w14:paraId="7FF763FA" w14:textId="77777777" w:rsidR="00FE4468" w:rsidRPr="00FE4468" w:rsidRDefault="00FE4468" w:rsidP="00FE4468">
            <w:r w:rsidRPr="00FE4468">
              <w:t>These two paragraphs will be deleted from the Affordable Housing SPD i.e. 3.1.21 and 3.1.22.</w:t>
            </w:r>
          </w:p>
        </w:tc>
      </w:tr>
      <w:tr w:rsidR="00FE4468" w:rsidRPr="00FE4468" w14:paraId="43E4A1B7" w14:textId="77777777" w:rsidTr="0095127E">
        <w:tc>
          <w:tcPr>
            <w:tcW w:w="0" w:type="auto"/>
            <w:tcBorders>
              <w:top w:val="single" w:sz="4" w:space="0" w:color="auto"/>
              <w:left w:val="single" w:sz="4" w:space="0" w:color="auto"/>
              <w:bottom w:val="single" w:sz="4" w:space="0" w:color="auto"/>
              <w:right w:val="single" w:sz="4" w:space="0" w:color="auto"/>
            </w:tcBorders>
            <w:vAlign w:val="center"/>
          </w:tcPr>
          <w:p w14:paraId="75692207" w14:textId="77777777" w:rsidR="00FE4468" w:rsidRPr="00FE4468" w:rsidRDefault="00FE4468" w:rsidP="00FE4468">
            <w:pPr>
              <w:rPr>
                <w:b/>
                <w:bCs/>
              </w:rPr>
            </w:pPr>
          </w:p>
        </w:tc>
        <w:tc>
          <w:tcPr>
            <w:tcW w:w="4675" w:type="dxa"/>
            <w:tcBorders>
              <w:top w:val="single" w:sz="4" w:space="0" w:color="auto"/>
              <w:left w:val="single" w:sz="4" w:space="0" w:color="auto"/>
              <w:bottom w:val="single" w:sz="4" w:space="0" w:color="auto"/>
              <w:right w:val="single" w:sz="4" w:space="0" w:color="auto"/>
            </w:tcBorders>
          </w:tcPr>
          <w:p w14:paraId="5D4B4B65" w14:textId="77777777" w:rsidR="00FE4468" w:rsidRPr="00FE4468" w:rsidRDefault="00FE4468" w:rsidP="00FE4468">
            <w:r w:rsidRPr="00FE4468">
              <w:t>Section 2.6 Vacant Building Credit</w:t>
            </w:r>
          </w:p>
          <w:p w14:paraId="2C984E6A" w14:textId="77777777" w:rsidR="00FE4468" w:rsidRPr="00FE4468" w:rsidRDefault="00FE4468" w:rsidP="00FE4468">
            <w:r w:rsidRPr="00FE4468">
              <w:t>Section 2.6 of the draft SPD considers Vacant Building Credit in the realms of affordable housing provision. This confirms that the credit does not apply when a building has been abandoned or that where a building has been made vacant for the sole purpose of re-development. The SPD then introduces that the council will seek a marketing campaign of a site for commercial property for at least a year to show that the building is ‘vacant’.</w:t>
            </w:r>
          </w:p>
          <w:p w14:paraId="6A05017C" w14:textId="77777777" w:rsidR="00FE4468" w:rsidRPr="00FE4468" w:rsidRDefault="00FE4468" w:rsidP="00FE4468">
            <w:r w:rsidRPr="00FE4468">
              <w:t xml:space="preserve">However, it is our view that this marketing requirements at para 2.6.2 should be deleted as it was inconsistent with national policy including Paragraph: 028 Reference ID: 23b-028-20190315 </w:t>
            </w:r>
            <w:r w:rsidRPr="00FE4468">
              <w:lastRenderedPageBreak/>
              <w:t>of PPG and para 65 of NPPF. The requirements in the SPD on Vacant Building Credit have not been justified with sufficient evidence.</w:t>
            </w:r>
          </w:p>
        </w:tc>
        <w:tc>
          <w:tcPr>
            <w:tcW w:w="4536" w:type="dxa"/>
            <w:tcBorders>
              <w:top w:val="single" w:sz="4" w:space="0" w:color="auto"/>
              <w:left w:val="single" w:sz="4" w:space="0" w:color="auto"/>
              <w:bottom w:val="single" w:sz="4" w:space="0" w:color="auto"/>
              <w:right w:val="single" w:sz="4" w:space="0" w:color="auto"/>
            </w:tcBorders>
          </w:tcPr>
          <w:p w14:paraId="5D16EF1A" w14:textId="77777777" w:rsidR="00FE4468" w:rsidRPr="00FE4468" w:rsidRDefault="00FE4468" w:rsidP="00FE4468">
            <w:r w:rsidRPr="00FE4468">
              <w:lastRenderedPageBreak/>
              <w:t xml:space="preserve">See the above response to Abri who make the same point as well as the Council’s response. </w:t>
            </w:r>
          </w:p>
        </w:tc>
        <w:tc>
          <w:tcPr>
            <w:tcW w:w="2468" w:type="dxa"/>
            <w:tcBorders>
              <w:top w:val="single" w:sz="4" w:space="0" w:color="auto"/>
              <w:left w:val="single" w:sz="4" w:space="0" w:color="auto"/>
              <w:bottom w:val="single" w:sz="4" w:space="0" w:color="auto"/>
              <w:right w:val="single" w:sz="4" w:space="0" w:color="auto"/>
            </w:tcBorders>
          </w:tcPr>
          <w:p w14:paraId="53DF985A" w14:textId="77777777" w:rsidR="00FE4468" w:rsidRPr="00FE4468" w:rsidRDefault="00FE4468" w:rsidP="00FE4468">
            <w:r w:rsidRPr="00FE4468">
              <w:t>As set out above for Abri.</w:t>
            </w:r>
          </w:p>
        </w:tc>
      </w:tr>
      <w:tr w:rsidR="00FE4468" w:rsidRPr="00FE4468" w14:paraId="21016DF6" w14:textId="77777777" w:rsidTr="0095127E">
        <w:tc>
          <w:tcPr>
            <w:tcW w:w="0" w:type="auto"/>
            <w:tcBorders>
              <w:top w:val="single" w:sz="4" w:space="0" w:color="auto"/>
              <w:left w:val="single" w:sz="4" w:space="0" w:color="auto"/>
              <w:bottom w:val="single" w:sz="4" w:space="0" w:color="auto"/>
              <w:right w:val="single" w:sz="4" w:space="0" w:color="auto"/>
            </w:tcBorders>
            <w:vAlign w:val="center"/>
          </w:tcPr>
          <w:p w14:paraId="351CCE56" w14:textId="77777777" w:rsidR="00FE4468" w:rsidRPr="00FE4468" w:rsidRDefault="00FE4468" w:rsidP="00FE4468">
            <w:pPr>
              <w:rPr>
                <w:b/>
                <w:bCs/>
              </w:rPr>
            </w:pPr>
            <w:proofErr w:type="spellStart"/>
            <w:r w:rsidRPr="00FE4468">
              <w:rPr>
                <w:b/>
                <w:bCs/>
              </w:rPr>
              <w:t>Rushmoor</w:t>
            </w:r>
            <w:proofErr w:type="spellEnd"/>
            <w:r w:rsidRPr="00FE4468">
              <w:rPr>
                <w:b/>
                <w:bCs/>
              </w:rPr>
              <w:t xml:space="preserve"> BC</w:t>
            </w:r>
          </w:p>
        </w:tc>
        <w:tc>
          <w:tcPr>
            <w:tcW w:w="4675" w:type="dxa"/>
            <w:tcBorders>
              <w:top w:val="single" w:sz="4" w:space="0" w:color="auto"/>
              <w:left w:val="single" w:sz="4" w:space="0" w:color="auto"/>
              <w:bottom w:val="single" w:sz="4" w:space="0" w:color="auto"/>
              <w:right w:val="single" w:sz="4" w:space="0" w:color="auto"/>
            </w:tcBorders>
          </w:tcPr>
          <w:p w14:paraId="2D247F74" w14:textId="77777777" w:rsidR="00FE4468" w:rsidRPr="00FE4468" w:rsidRDefault="00FE4468" w:rsidP="00FE4468">
            <w:r w:rsidRPr="00FE4468">
              <w:t xml:space="preserve">We have no comments to make </w:t>
            </w:r>
            <w:proofErr w:type="gramStart"/>
            <w:r w:rsidRPr="00FE4468">
              <w:t>at this time</w:t>
            </w:r>
            <w:proofErr w:type="gramEnd"/>
            <w:r w:rsidRPr="00FE4468">
              <w:t>, but please continue to notify us of future consultations.</w:t>
            </w:r>
          </w:p>
        </w:tc>
        <w:tc>
          <w:tcPr>
            <w:tcW w:w="4536" w:type="dxa"/>
            <w:tcBorders>
              <w:top w:val="single" w:sz="4" w:space="0" w:color="auto"/>
              <w:left w:val="single" w:sz="4" w:space="0" w:color="auto"/>
              <w:bottom w:val="single" w:sz="4" w:space="0" w:color="auto"/>
              <w:right w:val="single" w:sz="4" w:space="0" w:color="auto"/>
            </w:tcBorders>
          </w:tcPr>
          <w:p w14:paraId="6C3A402F" w14:textId="77777777" w:rsidR="00FE4468" w:rsidRPr="00FE4468" w:rsidRDefault="00FE4468" w:rsidP="00FE4468">
            <w:r w:rsidRPr="00FE4468">
              <w:t>Noted.</w:t>
            </w:r>
          </w:p>
        </w:tc>
        <w:tc>
          <w:tcPr>
            <w:tcW w:w="2468" w:type="dxa"/>
            <w:tcBorders>
              <w:top w:val="single" w:sz="4" w:space="0" w:color="auto"/>
              <w:left w:val="single" w:sz="4" w:space="0" w:color="auto"/>
              <w:bottom w:val="single" w:sz="4" w:space="0" w:color="auto"/>
              <w:right w:val="single" w:sz="4" w:space="0" w:color="auto"/>
            </w:tcBorders>
          </w:tcPr>
          <w:p w14:paraId="11BD2A03" w14:textId="77777777" w:rsidR="00FE4468" w:rsidRPr="00FE4468" w:rsidRDefault="00FE4468" w:rsidP="00FE4468">
            <w:r w:rsidRPr="00FE4468">
              <w:t>No change.</w:t>
            </w:r>
          </w:p>
        </w:tc>
      </w:tr>
      <w:tr w:rsidR="00FE4468" w:rsidRPr="00FE4468" w14:paraId="0719F97A" w14:textId="77777777" w:rsidTr="0095127E">
        <w:trPr>
          <w:trHeight w:val="758"/>
        </w:trPr>
        <w:tc>
          <w:tcPr>
            <w:tcW w:w="0" w:type="auto"/>
            <w:tcBorders>
              <w:top w:val="single" w:sz="4" w:space="0" w:color="auto"/>
              <w:left w:val="single" w:sz="4" w:space="0" w:color="auto"/>
              <w:bottom w:val="single" w:sz="4" w:space="0" w:color="auto"/>
              <w:right w:val="single" w:sz="4" w:space="0" w:color="auto"/>
            </w:tcBorders>
            <w:vAlign w:val="center"/>
          </w:tcPr>
          <w:p w14:paraId="4EE44B09" w14:textId="77777777" w:rsidR="00FE4468" w:rsidRPr="00FE4468" w:rsidRDefault="00FE4468" w:rsidP="00FE4468">
            <w:pPr>
              <w:rPr>
                <w:b/>
                <w:bCs/>
              </w:rPr>
            </w:pPr>
            <w:r w:rsidRPr="00FE4468">
              <w:rPr>
                <w:b/>
                <w:bCs/>
              </w:rPr>
              <w:t>SCC</w:t>
            </w:r>
          </w:p>
        </w:tc>
        <w:tc>
          <w:tcPr>
            <w:tcW w:w="4675" w:type="dxa"/>
            <w:tcBorders>
              <w:top w:val="single" w:sz="4" w:space="0" w:color="auto"/>
              <w:left w:val="single" w:sz="4" w:space="0" w:color="auto"/>
              <w:bottom w:val="single" w:sz="4" w:space="0" w:color="auto"/>
              <w:right w:val="single" w:sz="4" w:space="0" w:color="auto"/>
            </w:tcBorders>
          </w:tcPr>
          <w:p w14:paraId="271F7BDA" w14:textId="77777777" w:rsidR="00FE4468" w:rsidRPr="00FE4468" w:rsidRDefault="00FE4468" w:rsidP="00FE4468">
            <w:r w:rsidRPr="00FE4468">
              <w:t xml:space="preserve">We have no comments regarding this document. </w:t>
            </w:r>
          </w:p>
          <w:p w14:paraId="7DDF1D07" w14:textId="77777777" w:rsidR="00FE4468" w:rsidRPr="00FE4468" w:rsidRDefault="00FE4468" w:rsidP="00FE4468"/>
        </w:tc>
        <w:tc>
          <w:tcPr>
            <w:tcW w:w="4536" w:type="dxa"/>
            <w:tcBorders>
              <w:top w:val="single" w:sz="4" w:space="0" w:color="auto"/>
              <w:left w:val="single" w:sz="4" w:space="0" w:color="auto"/>
              <w:bottom w:val="single" w:sz="4" w:space="0" w:color="auto"/>
              <w:right w:val="single" w:sz="4" w:space="0" w:color="auto"/>
            </w:tcBorders>
          </w:tcPr>
          <w:p w14:paraId="736996A4" w14:textId="77777777" w:rsidR="00FE4468" w:rsidRPr="00FE4468" w:rsidRDefault="00FE4468" w:rsidP="00FE4468">
            <w:r w:rsidRPr="00FE4468">
              <w:t>Noted.</w:t>
            </w:r>
          </w:p>
        </w:tc>
        <w:tc>
          <w:tcPr>
            <w:tcW w:w="2468" w:type="dxa"/>
            <w:tcBorders>
              <w:top w:val="single" w:sz="4" w:space="0" w:color="auto"/>
              <w:left w:val="single" w:sz="4" w:space="0" w:color="auto"/>
              <w:bottom w:val="single" w:sz="4" w:space="0" w:color="auto"/>
              <w:right w:val="single" w:sz="4" w:space="0" w:color="auto"/>
            </w:tcBorders>
          </w:tcPr>
          <w:p w14:paraId="34C51095" w14:textId="77777777" w:rsidR="00FE4468" w:rsidRPr="00FE4468" w:rsidRDefault="00FE4468" w:rsidP="00FE4468">
            <w:r w:rsidRPr="00FE4468">
              <w:t>No change.</w:t>
            </w:r>
          </w:p>
        </w:tc>
      </w:tr>
      <w:tr w:rsidR="00FE4468" w:rsidRPr="00FE4468" w14:paraId="7F0B6D40" w14:textId="77777777" w:rsidTr="0095127E">
        <w:tc>
          <w:tcPr>
            <w:tcW w:w="0" w:type="auto"/>
            <w:vMerge w:val="restart"/>
            <w:tcBorders>
              <w:top w:val="single" w:sz="4" w:space="0" w:color="auto"/>
              <w:left w:val="single" w:sz="4" w:space="0" w:color="auto"/>
              <w:right w:val="single" w:sz="4" w:space="0" w:color="auto"/>
            </w:tcBorders>
            <w:vAlign w:val="center"/>
          </w:tcPr>
          <w:p w14:paraId="0A846C87" w14:textId="77777777" w:rsidR="00FE4468" w:rsidRPr="00A25F38" w:rsidRDefault="00FE4468" w:rsidP="00FE4468">
            <w:pPr>
              <w:rPr>
                <w:b/>
                <w:bCs/>
              </w:rPr>
            </w:pPr>
            <w:r w:rsidRPr="00A25F38">
              <w:rPr>
                <w:b/>
                <w:bCs/>
              </w:rPr>
              <w:t>Surrey Heartlands Health and Care Partnership</w:t>
            </w:r>
          </w:p>
        </w:tc>
        <w:tc>
          <w:tcPr>
            <w:tcW w:w="4675" w:type="dxa"/>
            <w:tcBorders>
              <w:top w:val="single" w:sz="4" w:space="0" w:color="auto"/>
              <w:left w:val="single" w:sz="4" w:space="0" w:color="auto"/>
              <w:bottom w:val="single" w:sz="4" w:space="0" w:color="auto"/>
              <w:right w:val="single" w:sz="4" w:space="0" w:color="auto"/>
            </w:tcBorders>
          </w:tcPr>
          <w:p w14:paraId="15443B28" w14:textId="77777777" w:rsidR="00FE4468" w:rsidRPr="00FE4468" w:rsidRDefault="00FE4468" w:rsidP="00FE4468">
            <w:r w:rsidRPr="00FE4468">
              <w:t xml:space="preserve">Section 3: Viability </w:t>
            </w:r>
          </w:p>
          <w:p w14:paraId="759E2546" w14:textId="77777777" w:rsidR="00FE4468" w:rsidRPr="00FE4468" w:rsidRDefault="00FE4468" w:rsidP="00FE4468">
            <w:r w:rsidRPr="00FE4468">
              <w:t>Health infrastructure provision is an integral component of sustainable development – access to essential healthcare services promotes good health outcomes and supports the overall social and economic wellbeing of an area. New development should therefore make a proportionate contribution to funding the healthcare needs arising from new development. Given health infrastructure’s strategic importance to supporting housing growth and sustainable development, it should be considered at the forefront of priorities for infrastructure delivery, where the council is having to assessing viability implications on a case-by-case basis.</w:t>
            </w:r>
          </w:p>
        </w:tc>
        <w:tc>
          <w:tcPr>
            <w:tcW w:w="4536" w:type="dxa"/>
            <w:tcBorders>
              <w:top w:val="single" w:sz="4" w:space="0" w:color="auto"/>
              <w:left w:val="single" w:sz="4" w:space="0" w:color="auto"/>
              <w:bottom w:val="single" w:sz="4" w:space="0" w:color="auto"/>
              <w:right w:val="single" w:sz="4" w:space="0" w:color="auto"/>
            </w:tcBorders>
          </w:tcPr>
          <w:p w14:paraId="4F08F407" w14:textId="77777777" w:rsidR="00FE4468" w:rsidRPr="00FE4468" w:rsidRDefault="00FE4468" w:rsidP="00FE4468">
            <w:r w:rsidRPr="00FE4468">
              <w:t xml:space="preserve">The importance of providing healthcare services alongside new housing development is acknowledged and is being picked up specifically as part of the Strategic CIL work. However, it is not considered relevant to include a specific reference in the template of the affordable housing element of the Section 106, as this template relates solely to the Affordable Housing provision and not the </w:t>
            </w:r>
            <w:proofErr w:type="gramStart"/>
            <w:r w:rsidRPr="00FE4468">
              <w:t>s106 as a whole</w:t>
            </w:r>
            <w:proofErr w:type="gramEnd"/>
            <w:r w:rsidRPr="00FE4468">
              <w:t xml:space="preserve">. </w:t>
            </w:r>
          </w:p>
        </w:tc>
        <w:tc>
          <w:tcPr>
            <w:tcW w:w="2468" w:type="dxa"/>
            <w:tcBorders>
              <w:top w:val="single" w:sz="4" w:space="0" w:color="auto"/>
              <w:left w:val="single" w:sz="4" w:space="0" w:color="auto"/>
              <w:bottom w:val="single" w:sz="4" w:space="0" w:color="auto"/>
              <w:right w:val="single" w:sz="4" w:space="0" w:color="auto"/>
            </w:tcBorders>
          </w:tcPr>
          <w:p w14:paraId="2586854A" w14:textId="4A3B7339" w:rsidR="00FE4468" w:rsidRPr="00FE4468" w:rsidRDefault="00FE4468" w:rsidP="00FE4468">
            <w:r w:rsidRPr="00FE4468">
              <w:t xml:space="preserve">For clarity, it is proposed that the wording at paras. 4.1.5 and 4.1.6 is amended to make it clear that “A Template </w:t>
            </w:r>
            <w:r w:rsidRPr="00FE4468">
              <w:rPr>
                <w:color w:val="FF0000"/>
              </w:rPr>
              <w:t xml:space="preserve">of the affordable housing element of the Section </w:t>
            </w:r>
            <w:r w:rsidRPr="00FE4468">
              <w:t>106 Agreement is attached as Appendix 2 to this document.”</w:t>
            </w:r>
          </w:p>
          <w:p w14:paraId="34B42C12" w14:textId="65C038F5" w:rsidR="00FE4468" w:rsidRPr="00FE4468" w:rsidRDefault="00FE4468" w:rsidP="00FE4468">
            <w:r w:rsidRPr="00FE4468">
              <w:t xml:space="preserve">Para. 4.1.6 is proposed to include reference to “The </w:t>
            </w:r>
            <w:r w:rsidRPr="00FE4468">
              <w:rPr>
                <w:color w:val="FF0000"/>
              </w:rPr>
              <w:t>full</w:t>
            </w:r>
            <w:r w:rsidRPr="00FE4468">
              <w:t xml:space="preserve"> Section 106 Agreement.</w:t>
            </w:r>
          </w:p>
        </w:tc>
      </w:tr>
      <w:tr w:rsidR="00FE4468" w:rsidRPr="00FE4468" w14:paraId="54ECBC57" w14:textId="77777777" w:rsidTr="0095127E">
        <w:tc>
          <w:tcPr>
            <w:tcW w:w="0" w:type="auto"/>
            <w:vMerge/>
            <w:tcBorders>
              <w:left w:val="single" w:sz="4" w:space="0" w:color="auto"/>
              <w:bottom w:val="single" w:sz="4" w:space="0" w:color="auto"/>
              <w:right w:val="single" w:sz="4" w:space="0" w:color="auto"/>
            </w:tcBorders>
            <w:vAlign w:val="center"/>
          </w:tcPr>
          <w:p w14:paraId="746B31B9" w14:textId="77777777" w:rsidR="00FE4468" w:rsidRPr="00FE4468" w:rsidRDefault="00FE4468" w:rsidP="00FE4468"/>
        </w:tc>
        <w:tc>
          <w:tcPr>
            <w:tcW w:w="4675" w:type="dxa"/>
            <w:tcBorders>
              <w:top w:val="single" w:sz="4" w:space="0" w:color="auto"/>
              <w:left w:val="single" w:sz="4" w:space="0" w:color="auto"/>
              <w:bottom w:val="single" w:sz="4" w:space="0" w:color="auto"/>
              <w:right w:val="single" w:sz="4" w:space="0" w:color="auto"/>
            </w:tcBorders>
          </w:tcPr>
          <w:p w14:paraId="4F5F819D" w14:textId="77777777" w:rsidR="00FE4468" w:rsidRPr="00FE4468" w:rsidRDefault="00FE4468" w:rsidP="00FE4468">
            <w:r w:rsidRPr="00FE4468">
              <w:t>Appendix 2: Healthcare provision</w:t>
            </w:r>
          </w:p>
          <w:p w14:paraId="1DFC442C" w14:textId="77777777" w:rsidR="00FE4468" w:rsidRPr="00FE4468" w:rsidRDefault="00FE4468" w:rsidP="00FE4468">
            <w:r w:rsidRPr="00FE4468">
              <w:t>The ICB note that the template includes definitions for infrastructure contributions, as well as affordable housing. We would request that a definition of Healthcare Contribution be added. We proposed the following definition and meaning.</w:t>
            </w:r>
          </w:p>
          <w:tbl>
            <w:tblPr>
              <w:tblStyle w:val="TableGrid1"/>
              <w:tblW w:w="0" w:type="auto"/>
              <w:tblInd w:w="0" w:type="dxa"/>
              <w:tblLook w:val="04A0" w:firstRow="1" w:lastRow="0" w:firstColumn="1" w:lastColumn="0" w:noHBand="0" w:noVBand="1"/>
            </w:tblPr>
            <w:tblGrid>
              <w:gridCol w:w="2224"/>
              <w:gridCol w:w="2225"/>
            </w:tblGrid>
            <w:tr w:rsidR="00FE4468" w:rsidRPr="00FE4468" w14:paraId="1E81D5A3" w14:textId="77777777" w:rsidTr="0095127E">
              <w:tc>
                <w:tcPr>
                  <w:tcW w:w="2224" w:type="dxa"/>
                </w:tcPr>
                <w:p w14:paraId="71D0012E" w14:textId="77777777" w:rsidR="00FE4468" w:rsidRPr="00FE4468" w:rsidRDefault="00FE4468" w:rsidP="00FE4468">
                  <w:r w:rsidRPr="00FE4468">
                    <w:lastRenderedPageBreak/>
                    <w:t>“Healthcare contributions”</w:t>
                  </w:r>
                </w:p>
              </w:tc>
              <w:tc>
                <w:tcPr>
                  <w:tcW w:w="2225" w:type="dxa"/>
                </w:tcPr>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009"/>
                  </w:tblGrid>
                  <w:tr w:rsidR="00FE4468" w:rsidRPr="00FE4468" w14:paraId="7B661B68" w14:textId="77777777" w:rsidTr="0095127E">
                    <w:trPr>
                      <w:trHeight w:val="1318"/>
                    </w:trPr>
                    <w:tc>
                      <w:tcPr>
                        <w:tcW w:w="0" w:type="auto"/>
                        <w:tcBorders>
                          <w:top w:val="none" w:sz="6" w:space="0" w:color="auto"/>
                          <w:bottom w:val="none" w:sz="6" w:space="0" w:color="auto"/>
                        </w:tcBorders>
                      </w:tcPr>
                      <w:p w14:paraId="53CA4090" w14:textId="77777777" w:rsidR="00FE4468" w:rsidRPr="00FE4468" w:rsidRDefault="00FE4468" w:rsidP="00FE4468">
                        <w:pPr>
                          <w:rPr>
                            <w:rFonts w:ascii="Calibri" w:eastAsia="Calibri" w:hAnsi="Calibri" w:cs="Times New Roman"/>
                          </w:rPr>
                        </w:pPr>
                        <w:r w:rsidRPr="00FE4468">
                          <w:rPr>
                            <w:rFonts w:ascii="Calibri" w:eastAsia="Calibri" w:hAnsi="Calibri" w:cs="Times New Roman"/>
                          </w:rPr>
                          <w:t xml:space="preserve">means a sum of [AMOUNT IN WORDS] </w:t>
                        </w:r>
                      </w:p>
                      <w:p w14:paraId="111BC216" w14:textId="77777777" w:rsidR="00FE4468" w:rsidRPr="00FE4468" w:rsidRDefault="00FE4468" w:rsidP="00FE4468">
                        <w:pPr>
                          <w:rPr>
                            <w:rFonts w:ascii="Calibri" w:eastAsia="Calibri" w:hAnsi="Calibri" w:cs="Times New Roman"/>
                          </w:rPr>
                        </w:pPr>
                        <w:r w:rsidRPr="00FE4468">
                          <w:rPr>
                            <w:rFonts w:ascii="Calibri" w:eastAsia="Calibri" w:hAnsi="Calibri" w:cs="Times New Roman"/>
                          </w:rPr>
                          <w:t xml:space="preserve">(£AMOUNT) payable by the Owner to the </w:t>
                        </w:r>
                      </w:p>
                      <w:p w14:paraId="70F17D70" w14:textId="77777777" w:rsidR="00FE4468" w:rsidRPr="00FE4468" w:rsidRDefault="00FE4468" w:rsidP="00FE4468">
                        <w:pPr>
                          <w:rPr>
                            <w:rFonts w:ascii="Calibri" w:eastAsia="Calibri" w:hAnsi="Calibri" w:cs="Times New Roman"/>
                          </w:rPr>
                        </w:pPr>
                        <w:r w:rsidRPr="00FE4468">
                          <w:rPr>
                            <w:rFonts w:ascii="Calibri" w:eastAsia="Calibri" w:hAnsi="Calibri" w:cs="Times New Roman"/>
                          </w:rPr>
                          <w:t xml:space="preserve">Council and paid by the Council to the NHS Surrey Heartlands Integrated Care Board or successor bodies to be used towards the provision of health care facilities and/or associated infrastructure within the [relevant primary care network] of successor body. </w:t>
                        </w:r>
                      </w:p>
                    </w:tc>
                  </w:tr>
                </w:tbl>
                <w:p w14:paraId="17367060" w14:textId="77777777" w:rsidR="00FE4468" w:rsidRPr="00FE4468" w:rsidRDefault="00FE4468" w:rsidP="00FE4468"/>
              </w:tc>
            </w:tr>
            <w:tr w:rsidR="00FE4468" w:rsidRPr="00FE4468" w14:paraId="26AA54CD" w14:textId="77777777" w:rsidTr="0095127E">
              <w:tc>
                <w:tcPr>
                  <w:tcW w:w="2224" w:type="dxa"/>
                </w:tcPr>
                <w:p w14:paraId="75EDA1FB" w14:textId="77777777" w:rsidR="00FE4468" w:rsidRPr="00FE4468" w:rsidRDefault="00FE4468" w:rsidP="00FE4468"/>
              </w:tc>
              <w:tc>
                <w:tcPr>
                  <w:tcW w:w="2225" w:type="dxa"/>
                </w:tcPr>
                <w:p w14:paraId="386C1D3C" w14:textId="77777777" w:rsidR="00FE4468" w:rsidRPr="00FE4468" w:rsidRDefault="00FE4468" w:rsidP="00FE4468"/>
              </w:tc>
            </w:tr>
          </w:tbl>
          <w:p w14:paraId="6F83F351" w14:textId="77777777" w:rsidR="00FE4468" w:rsidRPr="00FE4468" w:rsidRDefault="00FE4468" w:rsidP="00FE4468"/>
        </w:tc>
        <w:tc>
          <w:tcPr>
            <w:tcW w:w="4536" w:type="dxa"/>
            <w:tcBorders>
              <w:top w:val="single" w:sz="4" w:space="0" w:color="auto"/>
              <w:left w:val="single" w:sz="4" w:space="0" w:color="auto"/>
              <w:bottom w:val="single" w:sz="4" w:space="0" w:color="auto"/>
              <w:right w:val="single" w:sz="4" w:space="0" w:color="auto"/>
            </w:tcBorders>
          </w:tcPr>
          <w:p w14:paraId="341A6921" w14:textId="77777777" w:rsidR="00FE4468" w:rsidRPr="00FE4468" w:rsidRDefault="00FE4468" w:rsidP="00FE4468">
            <w:r w:rsidRPr="00FE4468">
              <w:lastRenderedPageBreak/>
              <w:t xml:space="preserve">See above. </w:t>
            </w:r>
          </w:p>
        </w:tc>
        <w:tc>
          <w:tcPr>
            <w:tcW w:w="2468" w:type="dxa"/>
            <w:tcBorders>
              <w:top w:val="single" w:sz="4" w:space="0" w:color="auto"/>
              <w:left w:val="single" w:sz="4" w:space="0" w:color="auto"/>
              <w:bottom w:val="single" w:sz="4" w:space="0" w:color="auto"/>
              <w:right w:val="single" w:sz="4" w:space="0" w:color="auto"/>
            </w:tcBorders>
          </w:tcPr>
          <w:p w14:paraId="743FF6D2" w14:textId="77777777" w:rsidR="00FE4468" w:rsidRPr="00FE4468" w:rsidRDefault="00FE4468" w:rsidP="00FE4468">
            <w:r w:rsidRPr="00FE4468">
              <w:t xml:space="preserve">Any references to infrastructure included in the template for the affordable housing section of the s106 have been removed. This includes references to SAMM and SANG contributions etc as the </w:t>
            </w:r>
            <w:r w:rsidRPr="00FE4468">
              <w:lastRenderedPageBreak/>
              <w:t xml:space="preserve">intention is for the template to relate solely to affordable housing. </w:t>
            </w:r>
          </w:p>
        </w:tc>
      </w:tr>
    </w:tbl>
    <w:p w14:paraId="19023EBC" w14:textId="77777777" w:rsidR="00FE4468" w:rsidRPr="00FE4468" w:rsidRDefault="00FE4468" w:rsidP="00FE4468">
      <w:pPr>
        <w:spacing w:after="160" w:line="259" w:lineRule="auto"/>
        <w:rPr>
          <w:rFonts w:ascii="Arial" w:eastAsia="Aptos" w:hAnsi="Arial" w:cs="Times New Roman"/>
        </w:rPr>
      </w:pPr>
    </w:p>
    <w:p w14:paraId="062D5FB5" w14:textId="77777777" w:rsidR="00FE4468" w:rsidRPr="00FE4468" w:rsidRDefault="00FE4468" w:rsidP="00FE4468">
      <w:pPr>
        <w:spacing w:after="160" w:line="259" w:lineRule="auto"/>
        <w:rPr>
          <w:rFonts w:ascii="Arial" w:eastAsia="Aptos" w:hAnsi="Arial" w:cs="Times New Roman"/>
        </w:rPr>
      </w:pPr>
    </w:p>
    <w:p w14:paraId="4D6F5305" w14:textId="77777777" w:rsidR="003560F5" w:rsidRPr="00B93082" w:rsidRDefault="003560F5" w:rsidP="00845C8A">
      <w:pPr>
        <w:pStyle w:val="ListParagraph"/>
        <w:rPr>
          <w:rFonts w:ascii="Arial" w:hAnsi="Arial" w:cs="Arial"/>
        </w:rPr>
      </w:pPr>
    </w:p>
    <w:sectPr w:rsidR="003560F5" w:rsidRPr="00B93082" w:rsidSect="003560F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DFA3E" w14:textId="77777777" w:rsidR="002B7BD5" w:rsidRDefault="002B7BD5" w:rsidP="002D383D">
      <w:pPr>
        <w:spacing w:after="0" w:line="240" w:lineRule="auto"/>
      </w:pPr>
      <w:r>
        <w:separator/>
      </w:r>
    </w:p>
  </w:endnote>
  <w:endnote w:type="continuationSeparator" w:id="0">
    <w:p w14:paraId="277C5659" w14:textId="77777777" w:rsidR="002B7BD5" w:rsidRDefault="002B7BD5" w:rsidP="002D383D">
      <w:pPr>
        <w:spacing w:after="0" w:line="240" w:lineRule="auto"/>
      </w:pPr>
      <w:r>
        <w:continuationSeparator/>
      </w:r>
    </w:p>
  </w:endnote>
  <w:endnote w:type="continuationNotice" w:id="1">
    <w:p w14:paraId="4CD73F87" w14:textId="77777777" w:rsidR="002B7BD5" w:rsidRDefault="002B7B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A73E3" w14:textId="77777777" w:rsidR="002B7BD5" w:rsidRDefault="002B7BD5" w:rsidP="002D383D">
      <w:pPr>
        <w:spacing w:after="0" w:line="240" w:lineRule="auto"/>
      </w:pPr>
      <w:r>
        <w:separator/>
      </w:r>
    </w:p>
  </w:footnote>
  <w:footnote w:type="continuationSeparator" w:id="0">
    <w:p w14:paraId="1865DDE0" w14:textId="77777777" w:rsidR="002B7BD5" w:rsidRDefault="002B7BD5" w:rsidP="002D383D">
      <w:pPr>
        <w:spacing w:after="0" w:line="240" w:lineRule="auto"/>
      </w:pPr>
      <w:r>
        <w:continuationSeparator/>
      </w:r>
    </w:p>
  </w:footnote>
  <w:footnote w:type="continuationNotice" w:id="1">
    <w:p w14:paraId="1B653145" w14:textId="77777777" w:rsidR="002B7BD5" w:rsidRDefault="002B7B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4043C"/>
    <w:multiLevelType w:val="hybridMultilevel"/>
    <w:tmpl w:val="502620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9A405A"/>
    <w:multiLevelType w:val="hybridMultilevel"/>
    <w:tmpl w:val="0A7816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C4C276A"/>
    <w:multiLevelType w:val="hybridMultilevel"/>
    <w:tmpl w:val="7126377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3844592F"/>
    <w:multiLevelType w:val="hybridMultilevel"/>
    <w:tmpl w:val="DD8E2C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191296"/>
    <w:multiLevelType w:val="hybridMultilevel"/>
    <w:tmpl w:val="A1D84A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CB51AFD"/>
    <w:multiLevelType w:val="hybridMultilevel"/>
    <w:tmpl w:val="097C55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1D51FCD"/>
    <w:multiLevelType w:val="hybridMultilevel"/>
    <w:tmpl w:val="5C30F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026BB2"/>
    <w:multiLevelType w:val="hybridMultilevel"/>
    <w:tmpl w:val="3F04E96A"/>
    <w:lvl w:ilvl="0" w:tplc="08090001">
      <w:start w:val="1"/>
      <w:numFmt w:val="bullet"/>
      <w:lvlText w:val=""/>
      <w:lvlJc w:val="left"/>
      <w:pPr>
        <w:ind w:left="1451" w:hanging="360"/>
      </w:pPr>
      <w:rPr>
        <w:rFonts w:ascii="Symbol" w:hAnsi="Symbol" w:hint="default"/>
      </w:rPr>
    </w:lvl>
    <w:lvl w:ilvl="1" w:tplc="08090003" w:tentative="1">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8" w15:restartNumberingAfterBreak="0">
    <w:nsid w:val="55707EF6"/>
    <w:multiLevelType w:val="multilevel"/>
    <w:tmpl w:val="5AB8C3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074E75"/>
    <w:multiLevelType w:val="hybridMultilevel"/>
    <w:tmpl w:val="547C81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D3E4CDE"/>
    <w:multiLevelType w:val="hybridMultilevel"/>
    <w:tmpl w:val="0D4098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1DF739D"/>
    <w:multiLevelType w:val="hybridMultilevel"/>
    <w:tmpl w:val="56FA19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DC35C9"/>
    <w:multiLevelType w:val="hybridMultilevel"/>
    <w:tmpl w:val="F7B23300"/>
    <w:lvl w:ilvl="0" w:tplc="EC12365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D447CE4"/>
    <w:multiLevelType w:val="hybridMultilevel"/>
    <w:tmpl w:val="A3CA06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DFF7293"/>
    <w:multiLevelType w:val="hybridMultilevel"/>
    <w:tmpl w:val="5EC652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6757285">
    <w:abstractNumId w:val="3"/>
  </w:num>
  <w:num w:numId="2" w16cid:durableId="2048024945">
    <w:abstractNumId w:val="11"/>
  </w:num>
  <w:num w:numId="3" w16cid:durableId="1485122839">
    <w:abstractNumId w:val="6"/>
  </w:num>
  <w:num w:numId="4" w16cid:durableId="1560239568">
    <w:abstractNumId w:val="8"/>
  </w:num>
  <w:num w:numId="5" w16cid:durableId="1780223010">
    <w:abstractNumId w:val="5"/>
  </w:num>
  <w:num w:numId="6" w16cid:durableId="1975789947">
    <w:abstractNumId w:val="7"/>
  </w:num>
  <w:num w:numId="7" w16cid:durableId="1867477628">
    <w:abstractNumId w:val="4"/>
  </w:num>
  <w:num w:numId="8" w16cid:durableId="195311498">
    <w:abstractNumId w:val="9"/>
  </w:num>
  <w:num w:numId="9" w16cid:durableId="416250214">
    <w:abstractNumId w:val="0"/>
  </w:num>
  <w:num w:numId="10" w16cid:durableId="367949593">
    <w:abstractNumId w:val="14"/>
  </w:num>
  <w:num w:numId="11" w16cid:durableId="45568878">
    <w:abstractNumId w:val="1"/>
  </w:num>
  <w:num w:numId="12" w16cid:durableId="290326384">
    <w:abstractNumId w:val="12"/>
  </w:num>
  <w:num w:numId="13" w16cid:durableId="928539431">
    <w:abstractNumId w:val="2"/>
  </w:num>
  <w:num w:numId="14" w16cid:durableId="14764846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52003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C8A"/>
    <w:rsid w:val="00013F90"/>
    <w:rsid w:val="00016336"/>
    <w:rsid w:val="00021C00"/>
    <w:rsid w:val="000910DA"/>
    <w:rsid w:val="000B2DD2"/>
    <w:rsid w:val="000C159E"/>
    <w:rsid w:val="000D2C55"/>
    <w:rsid w:val="00104CBB"/>
    <w:rsid w:val="00156347"/>
    <w:rsid w:val="0017595B"/>
    <w:rsid w:val="001C2A81"/>
    <w:rsid w:val="001D12CC"/>
    <w:rsid w:val="00205738"/>
    <w:rsid w:val="00235BD9"/>
    <w:rsid w:val="00243B19"/>
    <w:rsid w:val="00286D95"/>
    <w:rsid w:val="0029625D"/>
    <w:rsid w:val="002A6DAF"/>
    <w:rsid w:val="002B7BD5"/>
    <w:rsid w:val="002C149A"/>
    <w:rsid w:val="002D383D"/>
    <w:rsid w:val="002D6185"/>
    <w:rsid w:val="002D6C11"/>
    <w:rsid w:val="00314F4A"/>
    <w:rsid w:val="00324F03"/>
    <w:rsid w:val="003560F5"/>
    <w:rsid w:val="00374C11"/>
    <w:rsid w:val="003A121D"/>
    <w:rsid w:val="003A1FC8"/>
    <w:rsid w:val="003B7660"/>
    <w:rsid w:val="003C3D4B"/>
    <w:rsid w:val="003C404F"/>
    <w:rsid w:val="003C5E73"/>
    <w:rsid w:val="003E2A44"/>
    <w:rsid w:val="003F7AA7"/>
    <w:rsid w:val="00411611"/>
    <w:rsid w:val="00422A2D"/>
    <w:rsid w:val="00464170"/>
    <w:rsid w:val="00466C6E"/>
    <w:rsid w:val="004721C4"/>
    <w:rsid w:val="004727D2"/>
    <w:rsid w:val="004A28DA"/>
    <w:rsid w:val="004C3047"/>
    <w:rsid w:val="004D140A"/>
    <w:rsid w:val="004D3517"/>
    <w:rsid w:val="004E7138"/>
    <w:rsid w:val="00504B7D"/>
    <w:rsid w:val="00512D01"/>
    <w:rsid w:val="00522C6A"/>
    <w:rsid w:val="00522F85"/>
    <w:rsid w:val="00535215"/>
    <w:rsid w:val="00541531"/>
    <w:rsid w:val="0054198B"/>
    <w:rsid w:val="0055449D"/>
    <w:rsid w:val="00570B10"/>
    <w:rsid w:val="00571A29"/>
    <w:rsid w:val="005845B1"/>
    <w:rsid w:val="0059313B"/>
    <w:rsid w:val="005A0D89"/>
    <w:rsid w:val="005B3F35"/>
    <w:rsid w:val="005D651A"/>
    <w:rsid w:val="005F7BF3"/>
    <w:rsid w:val="00603715"/>
    <w:rsid w:val="00630425"/>
    <w:rsid w:val="00650CAD"/>
    <w:rsid w:val="00664A20"/>
    <w:rsid w:val="00667EEE"/>
    <w:rsid w:val="00677B39"/>
    <w:rsid w:val="006F101B"/>
    <w:rsid w:val="006F3F16"/>
    <w:rsid w:val="006F4EED"/>
    <w:rsid w:val="00725E41"/>
    <w:rsid w:val="00727C5D"/>
    <w:rsid w:val="00760B3D"/>
    <w:rsid w:val="007B763D"/>
    <w:rsid w:val="007C2421"/>
    <w:rsid w:val="007D489A"/>
    <w:rsid w:val="007D7866"/>
    <w:rsid w:val="00810658"/>
    <w:rsid w:val="00845C8A"/>
    <w:rsid w:val="00863FA5"/>
    <w:rsid w:val="008779B4"/>
    <w:rsid w:val="00886AFE"/>
    <w:rsid w:val="008905C5"/>
    <w:rsid w:val="008D0862"/>
    <w:rsid w:val="008D0E1A"/>
    <w:rsid w:val="00931E54"/>
    <w:rsid w:val="009C567C"/>
    <w:rsid w:val="009D71D5"/>
    <w:rsid w:val="009E548A"/>
    <w:rsid w:val="00A027D5"/>
    <w:rsid w:val="00A25F38"/>
    <w:rsid w:val="00A30CED"/>
    <w:rsid w:val="00A36CA0"/>
    <w:rsid w:val="00A4299A"/>
    <w:rsid w:val="00AA6EDD"/>
    <w:rsid w:val="00AA7E7E"/>
    <w:rsid w:val="00AD4397"/>
    <w:rsid w:val="00B03D27"/>
    <w:rsid w:val="00B3038D"/>
    <w:rsid w:val="00B340D7"/>
    <w:rsid w:val="00B408D9"/>
    <w:rsid w:val="00B44BE6"/>
    <w:rsid w:val="00B83FEE"/>
    <w:rsid w:val="00B93082"/>
    <w:rsid w:val="00BB71E6"/>
    <w:rsid w:val="00BC4B5F"/>
    <w:rsid w:val="00BD0317"/>
    <w:rsid w:val="00BD166A"/>
    <w:rsid w:val="00C302F1"/>
    <w:rsid w:val="00C5732A"/>
    <w:rsid w:val="00C62AA5"/>
    <w:rsid w:val="00C657AA"/>
    <w:rsid w:val="00CB0D1E"/>
    <w:rsid w:val="00CD1CC1"/>
    <w:rsid w:val="00CE730D"/>
    <w:rsid w:val="00D022C1"/>
    <w:rsid w:val="00D14A3C"/>
    <w:rsid w:val="00D205B8"/>
    <w:rsid w:val="00D3662E"/>
    <w:rsid w:val="00D84734"/>
    <w:rsid w:val="00DB03DC"/>
    <w:rsid w:val="00DD0684"/>
    <w:rsid w:val="00DD2D4E"/>
    <w:rsid w:val="00DF3B9B"/>
    <w:rsid w:val="00DF5D41"/>
    <w:rsid w:val="00E54269"/>
    <w:rsid w:val="00E54BD8"/>
    <w:rsid w:val="00E70864"/>
    <w:rsid w:val="00E850CD"/>
    <w:rsid w:val="00EA223A"/>
    <w:rsid w:val="00EA5ACD"/>
    <w:rsid w:val="00EB1E42"/>
    <w:rsid w:val="00ED7A34"/>
    <w:rsid w:val="00F33D5A"/>
    <w:rsid w:val="00F42D9A"/>
    <w:rsid w:val="00F63090"/>
    <w:rsid w:val="00F65237"/>
    <w:rsid w:val="00F94AFB"/>
    <w:rsid w:val="00FA0464"/>
    <w:rsid w:val="00FA465F"/>
    <w:rsid w:val="00FD4CD8"/>
    <w:rsid w:val="00FE4468"/>
    <w:rsid w:val="00FF4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62C3C"/>
  <w15:chartTrackingRefBased/>
  <w15:docId w15:val="{F29AF5FD-DC02-48F8-A8FE-41776892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E73"/>
  </w:style>
  <w:style w:type="paragraph" w:styleId="Heading1">
    <w:name w:val="heading 1"/>
    <w:basedOn w:val="Normal"/>
    <w:next w:val="Normal"/>
    <w:link w:val="Heading1Char"/>
    <w:uiPriority w:val="9"/>
    <w:qFormat/>
    <w:rsid w:val="00845C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C8A"/>
    <w:pPr>
      <w:ind w:left="720"/>
      <w:contextualSpacing/>
    </w:pPr>
  </w:style>
  <w:style w:type="character" w:customStyle="1" w:styleId="Heading1Char">
    <w:name w:val="Heading 1 Char"/>
    <w:basedOn w:val="DefaultParagraphFont"/>
    <w:link w:val="Heading1"/>
    <w:uiPriority w:val="9"/>
    <w:rsid w:val="00845C8A"/>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2D38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383D"/>
    <w:rPr>
      <w:sz w:val="20"/>
      <w:szCs w:val="20"/>
    </w:rPr>
  </w:style>
  <w:style w:type="character" w:styleId="FootnoteReference">
    <w:name w:val="footnote reference"/>
    <w:basedOn w:val="DefaultParagraphFont"/>
    <w:uiPriority w:val="99"/>
    <w:semiHidden/>
    <w:unhideWhenUsed/>
    <w:rsid w:val="002D383D"/>
    <w:rPr>
      <w:vertAlign w:val="superscript"/>
    </w:rPr>
  </w:style>
  <w:style w:type="table" w:styleId="TableGrid">
    <w:name w:val="Table Grid"/>
    <w:basedOn w:val="TableNormal"/>
    <w:uiPriority w:val="39"/>
    <w:rsid w:val="00356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727D2"/>
    <w:pPr>
      <w:spacing w:line="259" w:lineRule="auto"/>
      <w:outlineLvl w:val="9"/>
    </w:pPr>
    <w:rPr>
      <w:lang w:val="en-US"/>
    </w:rPr>
  </w:style>
  <w:style w:type="paragraph" w:styleId="TOC1">
    <w:name w:val="toc 1"/>
    <w:basedOn w:val="Normal"/>
    <w:next w:val="Normal"/>
    <w:autoRedefine/>
    <w:uiPriority w:val="39"/>
    <w:unhideWhenUsed/>
    <w:rsid w:val="004727D2"/>
    <w:pPr>
      <w:spacing w:after="100"/>
    </w:pPr>
  </w:style>
  <w:style w:type="character" w:styleId="Hyperlink">
    <w:name w:val="Hyperlink"/>
    <w:basedOn w:val="DefaultParagraphFont"/>
    <w:uiPriority w:val="99"/>
    <w:unhideWhenUsed/>
    <w:rsid w:val="004727D2"/>
    <w:rPr>
      <w:color w:val="0563C1" w:themeColor="hyperlink"/>
      <w:u w:val="single"/>
    </w:rPr>
  </w:style>
  <w:style w:type="character" w:styleId="CommentReference">
    <w:name w:val="annotation reference"/>
    <w:basedOn w:val="DefaultParagraphFont"/>
    <w:uiPriority w:val="99"/>
    <w:semiHidden/>
    <w:unhideWhenUsed/>
    <w:rsid w:val="002A6DAF"/>
    <w:rPr>
      <w:sz w:val="16"/>
      <w:szCs w:val="16"/>
    </w:rPr>
  </w:style>
  <w:style w:type="paragraph" w:styleId="CommentText">
    <w:name w:val="annotation text"/>
    <w:basedOn w:val="Normal"/>
    <w:link w:val="CommentTextChar"/>
    <w:uiPriority w:val="99"/>
    <w:semiHidden/>
    <w:unhideWhenUsed/>
    <w:rsid w:val="002A6DAF"/>
    <w:pPr>
      <w:spacing w:line="240" w:lineRule="auto"/>
    </w:pPr>
    <w:rPr>
      <w:sz w:val="20"/>
      <w:szCs w:val="20"/>
    </w:rPr>
  </w:style>
  <w:style w:type="character" w:customStyle="1" w:styleId="CommentTextChar">
    <w:name w:val="Comment Text Char"/>
    <w:basedOn w:val="DefaultParagraphFont"/>
    <w:link w:val="CommentText"/>
    <w:uiPriority w:val="99"/>
    <w:semiHidden/>
    <w:rsid w:val="002A6DAF"/>
    <w:rPr>
      <w:sz w:val="20"/>
      <w:szCs w:val="20"/>
    </w:rPr>
  </w:style>
  <w:style w:type="paragraph" w:styleId="CommentSubject">
    <w:name w:val="annotation subject"/>
    <w:basedOn w:val="CommentText"/>
    <w:next w:val="CommentText"/>
    <w:link w:val="CommentSubjectChar"/>
    <w:uiPriority w:val="99"/>
    <w:semiHidden/>
    <w:unhideWhenUsed/>
    <w:rsid w:val="002A6DAF"/>
    <w:rPr>
      <w:b/>
      <w:bCs/>
    </w:rPr>
  </w:style>
  <w:style w:type="character" w:customStyle="1" w:styleId="CommentSubjectChar">
    <w:name w:val="Comment Subject Char"/>
    <w:basedOn w:val="CommentTextChar"/>
    <w:link w:val="CommentSubject"/>
    <w:uiPriority w:val="99"/>
    <w:semiHidden/>
    <w:rsid w:val="002A6DAF"/>
    <w:rPr>
      <w:b/>
      <w:bCs/>
      <w:sz w:val="20"/>
      <w:szCs w:val="20"/>
    </w:rPr>
  </w:style>
  <w:style w:type="table" w:customStyle="1" w:styleId="TableGrid1">
    <w:name w:val="Table Grid1"/>
    <w:basedOn w:val="TableNormal"/>
    <w:next w:val="TableGrid"/>
    <w:uiPriority w:val="39"/>
    <w:rsid w:val="00FE446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3B766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B7660"/>
  </w:style>
  <w:style w:type="paragraph" w:styleId="Footer">
    <w:name w:val="footer"/>
    <w:basedOn w:val="Normal"/>
    <w:link w:val="FooterChar"/>
    <w:uiPriority w:val="99"/>
    <w:semiHidden/>
    <w:unhideWhenUsed/>
    <w:rsid w:val="003B766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B7660"/>
  </w:style>
  <w:style w:type="character" w:styleId="UnresolvedMention">
    <w:name w:val="Unresolved Mention"/>
    <w:basedOn w:val="DefaultParagraphFont"/>
    <w:uiPriority w:val="99"/>
    <w:semiHidden/>
    <w:unhideWhenUsed/>
    <w:rsid w:val="00F630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99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unnymede.gov.uk/downloads/file/1401/ah-spd-reg-12-consultation-statemen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549fc1-2324-49b8-bb5f-ce4cd6a2d36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86FEEB9B79E8345B0050BAA09790D07" ma:contentTypeVersion="11" ma:contentTypeDescription="Create a new document." ma:contentTypeScope="" ma:versionID="e9e1b2c3a1edae0bceddf440b2424991">
  <xsd:schema xmlns:xsd="http://www.w3.org/2001/XMLSchema" xmlns:xs="http://www.w3.org/2001/XMLSchema" xmlns:p="http://schemas.microsoft.com/office/2006/metadata/properties" xmlns:ns2="49549fc1-2324-49b8-bb5f-ce4cd6a2d36e" xmlns:ns3="551bfcd2-44e3-4138-b891-6c1e27651629" targetNamespace="http://schemas.microsoft.com/office/2006/metadata/properties" ma:root="true" ma:fieldsID="9417800bdb0936b2063d1ee9b43c606f" ns2:_="" ns3:_="">
    <xsd:import namespace="49549fc1-2324-49b8-bb5f-ce4cd6a2d36e"/>
    <xsd:import namespace="551bfcd2-44e3-4138-b891-6c1e276516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49fc1-2324-49b8-bb5f-ce4cd6a2d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8645e8-6483-4337-a2ad-56ef7acee26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1bfcd2-44e3-4138-b891-6c1e276516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84AC07-C697-44F8-8B07-DC03B337A749}">
  <ds:schemaRefs>
    <ds:schemaRef ds:uri="http://schemas.microsoft.com/sharepoint/v3/contenttype/forms"/>
  </ds:schemaRefs>
</ds:datastoreItem>
</file>

<file path=customXml/itemProps2.xml><?xml version="1.0" encoding="utf-8"?>
<ds:datastoreItem xmlns:ds="http://schemas.openxmlformats.org/officeDocument/2006/customXml" ds:itemID="{02ECE0EE-9E8B-4673-8432-527D00361755}">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551bfcd2-44e3-4138-b891-6c1e27651629"/>
    <ds:schemaRef ds:uri="http://schemas.microsoft.com/office/2006/metadata/properties"/>
    <ds:schemaRef ds:uri="http://purl.org/dc/elements/1.1/"/>
    <ds:schemaRef ds:uri="49549fc1-2324-49b8-bb5f-ce4cd6a2d36e"/>
    <ds:schemaRef ds:uri="http://www.w3.org/XML/1998/namespace"/>
    <ds:schemaRef ds:uri="http://purl.org/dc/dcmitype/"/>
  </ds:schemaRefs>
</ds:datastoreItem>
</file>

<file path=customXml/itemProps3.xml><?xml version="1.0" encoding="utf-8"?>
<ds:datastoreItem xmlns:ds="http://schemas.openxmlformats.org/officeDocument/2006/customXml" ds:itemID="{35CFDB87-1916-4EC3-BC73-3437D8227FBB}">
  <ds:schemaRefs>
    <ds:schemaRef ds:uri="http://schemas.openxmlformats.org/officeDocument/2006/bibliography"/>
  </ds:schemaRefs>
</ds:datastoreItem>
</file>

<file path=customXml/itemProps4.xml><?xml version="1.0" encoding="utf-8"?>
<ds:datastoreItem xmlns:ds="http://schemas.openxmlformats.org/officeDocument/2006/customXml" ds:itemID="{280A41DB-3E11-4CA7-8A96-B6B799EE4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49fc1-2324-49b8-bb5f-ce4cd6a2d36e"/>
    <ds:schemaRef ds:uri="551bfcd2-44e3-4138-b891-6c1e27651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3440</Words>
  <Characters>19613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Statement AH SPD</dc:title>
  <dc:subject>Runnymede Borough Council</dc:subject>
  <dc:creator>Judith Orr</dc:creator>
  <cp:keywords/>
  <dc:description/>
  <cp:lastModifiedBy>Judith Orr</cp:lastModifiedBy>
  <cp:revision>3</cp:revision>
  <cp:lastPrinted>2025-09-15T10:23:00Z</cp:lastPrinted>
  <dcterms:created xsi:type="dcterms:W3CDTF">2025-09-29T10:01:00Z</dcterms:created>
  <dcterms:modified xsi:type="dcterms:W3CDTF">2025-09-29T10:14:00Z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0x010100E86FEEB9B79E8345B0050BAA09790D07</vt:lpwstr>
  </property>
  <property fmtid="{D5CDD505-2E9C-101B-9397-08002B2CF9AE}" pid="3" name="MediaServiceImageTags">
    <vt:lpwstr/>
  </property>
</Properties>
</file>